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38A94" w14:textId="77777777" w:rsidR="00FA4AFA" w:rsidRDefault="0089023D">
      <w:pPr>
        <w:pStyle w:val="Nadpis3"/>
        <w:spacing w:before="281" w:after="281"/>
        <w:jc w:val="center"/>
        <w:rPr>
          <w:rFonts w:ascii="Century Gothic" w:eastAsia="Century Gothic" w:hAnsi="Century Gothic" w:cs="Century Gothic"/>
          <w:b/>
          <w:color w:val="000000"/>
        </w:rPr>
      </w:pPr>
      <w:r>
        <w:rPr>
          <w:rFonts w:eastAsia="Aptos" w:cs="Aptos"/>
          <w:b/>
          <w:color w:val="000000"/>
        </w:rPr>
        <w:t xml:space="preserve"> KV Arena se mění na Mattoni Arenu. Společnost tak ještě více posiluje svou intenzivní podporu sportu a kultury v Karlovarském kraji</w:t>
      </w:r>
    </w:p>
    <w:p w14:paraId="04780EB6" w14:textId="77777777" w:rsidR="00FA4AFA" w:rsidRDefault="0089023D">
      <w:pPr>
        <w:spacing w:before="240" w:after="240"/>
        <w:jc w:val="right"/>
        <w:rPr>
          <w:rFonts w:ascii="Century Gothic" w:eastAsia="Century Gothic" w:hAnsi="Century Gothic" w:cs="Century Gothic"/>
          <w:sz w:val="22"/>
          <w:szCs w:val="22"/>
        </w:rPr>
      </w:pPr>
      <w:r>
        <w:rPr>
          <w:rFonts w:ascii="Century Gothic" w:eastAsia="Century Gothic" w:hAnsi="Century Gothic" w:cs="Century Gothic"/>
          <w:i/>
          <w:sz w:val="22"/>
          <w:szCs w:val="22"/>
        </w:rPr>
        <w:t>Karlovy Vary, 30. dubna 2025</w:t>
      </w:r>
      <w:r>
        <w:rPr>
          <w:rFonts w:ascii="Century Gothic" w:eastAsia="Century Gothic" w:hAnsi="Century Gothic" w:cs="Century Gothic"/>
          <w:sz w:val="22"/>
          <w:szCs w:val="22"/>
        </w:rPr>
        <w:t xml:space="preserve"> </w:t>
      </w:r>
    </w:p>
    <w:p w14:paraId="0CD8FF69" w14:textId="05167E47" w:rsidR="00FA4AFA" w:rsidRDefault="0089023D">
      <w:pPr>
        <w:spacing w:before="240" w:after="240"/>
        <w:jc w:val="both"/>
        <w:rPr>
          <w:rFonts w:ascii="Century Gothic" w:eastAsia="Century Gothic" w:hAnsi="Century Gothic" w:cs="Century Gothic"/>
          <w:b/>
          <w:color w:val="000000"/>
          <w:sz w:val="22"/>
          <w:szCs w:val="22"/>
        </w:rPr>
      </w:pPr>
      <w:r>
        <w:rPr>
          <w:rFonts w:ascii="Century Gothic" w:eastAsia="Century Gothic" w:hAnsi="Century Gothic" w:cs="Century Gothic"/>
          <w:b/>
          <w:sz w:val="22"/>
          <w:szCs w:val="22"/>
        </w:rPr>
        <w:t xml:space="preserve">Značka minerální vody Mattoni je novým titulárním partnerem KV Areny v Karlových Varech. Ta tak už od července 2025 ponese nový název – Mattoni Arena. Slavnostní podpis </w:t>
      </w:r>
      <w:r w:rsidR="00C26EEE">
        <w:rPr>
          <w:rFonts w:ascii="Century Gothic" w:eastAsia="Century Gothic" w:hAnsi="Century Gothic" w:cs="Century Gothic"/>
          <w:b/>
          <w:sz w:val="22"/>
          <w:szCs w:val="22"/>
        </w:rPr>
        <w:t xml:space="preserve">dlouhodobé </w:t>
      </w:r>
      <w:r>
        <w:rPr>
          <w:rFonts w:ascii="Century Gothic" w:eastAsia="Century Gothic" w:hAnsi="Century Gothic" w:cs="Century Gothic"/>
          <w:b/>
          <w:sz w:val="22"/>
          <w:szCs w:val="22"/>
        </w:rPr>
        <w:t>smlouvy proběhl 30. dubna za účasti zástupců města, vedení KV Areny, sportovních klubů a společnosti Mattoni 1873. Partnerství se vztahuje na celý areál – hlavní halu, tréninkové zázemí, halu míčových sportů, atletický stadion i bazénové centru</w:t>
      </w:r>
      <w:r>
        <w:rPr>
          <w:rFonts w:ascii="Century Gothic" w:eastAsia="Century Gothic" w:hAnsi="Century Gothic" w:cs="Century Gothic"/>
          <w:b/>
          <w:color w:val="000000"/>
          <w:sz w:val="22"/>
          <w:szCs w:val="22"/>
        </w:rPr>
        <w:t>m. Součástí partnerství je také posílení podpory tří karlovarských</w:t>
      </w:r>
      <w:r>
        <w:rPr>
          <w:rFonts w:ascii="Century Gothic" w:eastAsia="Century Gothic" w:hAnsi="Century Gothic" w:cs="Century Gothic"/>
          <w:b/>
          <w:sz w:val="22"/>
          <w:szCs w:val="22"/>
        </w:rPr>
        <w:t xml:space="preserve"> </w:t>
      </w:r>
      <w:r w:rsidR="00C26EEE">
        <w:rPr>
          <w:rFonts w:ascii="Century Gothic" w:eastAsia="Century Gothic" w:hAnsi="Century Gothic" w:cs="Century Gothic"/>
          <w:b/>
          <w:sz w:val="22"/>
          <w:szCs w:val="22"/>
        </w:rPr>
        <w:t xml:space="preserve">sportovních </w:t>
      </w:r>
      <w:r>
        <w:rPr>
          <w:rFonts w:ascii="Century Gothic" w:eastAsia="Century Gothic" w:hAnsi="Century Gothic" w:cs="Century Gothic"/>
          <w:b/>
          <w:sz w:val="22"/>
          <w:szCs w:val="22"/>
        </w:rPr>
        <w:t>klubů</w:t>
      </w:r>
      <w:r w:rsidR="00C26EEE">
        <w:rPr>
          <w:rFonts w:ascii="Century Gothic" w:eastAsia="Century Gothic" w:hAnsi="Century Gothic" w:cs="Century Gothic"/>
          <w:b/>
          <w:sz w:val="22"/>
          <w:szCs w:val="22"/>
        </w:rPr>
        <w:t xml:space="preserve"> z nejvyšších soutěží</w:t>
      </w:r>
      <w:r>
        <w:rPr>
          <w:rFonts w:ascii="Century Gothic" w:eastAsia="Century Gothic" w:hAnsi="Century Gothic" w:cs="Century Gothic"/>
          <w:b/>
          <w:sz w:val="22"/>
          <w:szCs w:val="22"/>
        </w:rPr>
        <w:t>.</w:t>
      </w:r>
    </w:p>
    <w:p w14:paraId="7BCB27D2" w14:textId="77777777" w:rsidR="00FA4AFA" w:rsidRDefault="0089023D">
      <w:pPr>
        <w:spacing w:before="240" w:after="240"/>
        <w:jc w:val="both"/>
        <w:rPr>
          <w:rFonts w:ascii="Century Gothic" w:eastAsia="Century Gothic" w:hAnsi="Century Gothic" w:cs="Century Gothic"/>
          <w:b/>
          <w:sz w:val="22"/>
          <w:szCs w:val="22"/>
        </w:rPr>
      </w:pPr>
      <w:r>
        <w:rPr>
          <w:rFonts w:ascii="Century Gothic" w:eastAsia="Century Gothic" w:hAnsi="Century Gothic" w:cs="Century Gothic"/>
          <w:sz w:val="22"/>
          <w:szCs w:val="22"/>
        </w:rPr>
        <w:t>Partnerství s KV Arenou navazuje na dlouholetou filozofii společnosti Mattoni 1873 – podporovat zdravý životní styl, regionální komunity a společensky odpovědné projekty. „</w:t>
      </w:r>
      <w:r>
        <w:rPr>
          <w:rFonts w:ascii="Century Gothic" w:eastAsia="Century Gothic" w:hAnsi="Century Gothic" w:cs="Century Gothic"/>
          <w:i/>
          <w:sz w:val="22"/>
          <w:szCs w:val="22"/>
        </w:rPr>
        <w:t>Spojení Mattoni a areny nám dává smysl. Karlovarský kraj je náš domov a chceme být aktivní součástí jeho veřejného života – nejen jako zaměstnavatel, ale i jako partner sportu, kultury a zdravého pohybu. Podporujeme vše, co lidi spojuje, motivuje k pohybu a přispívá k lepšímu životu,</w:t>
      </w:r>
      <w:r>
        <w:rPr>
          <w:rFonts w:ascii="Century Gothic" w:eastAsia="Century Gothic" w:hAnsi="Century Gothic" w:cs="Century Gothic"/>
          <w:sz w:val="22"/>
          <w:szCs w:val="22"/>
        </w:rPr>
        <w:t xml:space="preserve">“ uvedl </w:t>
      </w:r>
      <w:r>
        <w:rPr>
          <w:rFonts w:ascii="Century Gothic" w:eastAsia="Century Gothic" w:hAnsi="Century Gothic" w:cs="Century Gothic"/>
          <w:b/>
          <w:sz w:val="22"/>
          <w:szCs w:val="22"/>
        </w:rPr>
        <w:t xml:space="preserve">Alessandro </w:t>
      </w:r>
      <w:proofErr w:type="spellStart"/>
      <w:r>
        <w:rPr>
          <w:rFonts w:ascii="Century Gothic" w:eastAsia="Century Gothic" w:hAnsi="Century Gothic" w:cs="Century Gothic"/>
          <w:b/>
          <w:sz w:val="22"/>
          <w:szCs w:val="22"/>
        </w:rPr>
        <w:t>Pasquale</w:t>
      </w:r>
      <w:proofErr w:type="spellEnd"/>
      <w:r>
        <w:rPr>
          <w:rFonts w:ascii="Century Gothic" w:eastAsia="Century Gothic" w:hAnsi="Century Gothic" w:cs="Century Gothic"/>
          <w:b/>
          <w:sz w:val="22"/>
          <w:szCs w:val="22"/>
        </w:rPr>
        <w:t>, výkonný prezident a majitel společnosti Mattoni 1873.</w:t>
      </w:r>
    </w:p>
    <w:p w14:paraId="3BC3AAD6" w14:textId="77777777" w:rsidR="00FA4AFA" w:rsidRDefault="0089023D">
      <w:pPr>
        <w:spacing w:before="240" w:after="240"/>
        <w:jc w:val="both"/>
        <w:rPr>
          <w:rFonts w:ascii="Century Gothic" w:eastAsia="Century Gothic" w:hAnsi="Century Gothic" w:cs="Century Gothic"/>
          <w:b/>
          <w:sz w:val="22"/>
          <w:szCs w:val="22"/>
        </w:rPr>
      </w:pPr>
      <w:r>
        <w:rPr>
          <w:rFonts w:ascii="Century Gothic" w:eastAsia="Century Gothic" w:hAnsi="Century Gothic" w:cs="Century Gothic"/>
          <w:sz w:val="22"/>
          <w:szCs w:val="22"/>
        </w:rPr>
        <w:t>Díky partnerství se také výrazně rozšíří podpora tří předních karlovarských klubů, které působí v nejvyšších národních ligách – HC Energie, VK Karlovarsko a Florbal VARY</w:t>
      </w:r>
      <w:r>
        <w:rPr>
          <w:rFonts w:ascii="Century Gothic" w:eastAsia="Century Gothic" w:hAnsi="Century Gothic" w:cs="Century Gothic"/>
          <w:b/>
          <w:sz w:val="22"/>
          <w:szCs w:val="22"/>
        </w:rPr>
        <w:t xml:space="preserve">. </w:t>
      </w:r>
      <w:r w:rsidRPr="00C26EEE">
        <w:rPr>
          <w:rFonts w:ascii="Century Gothic" w:eastAsia="Century Gothic" w:hAnsi="Century Gothic" w:cs="Century Gothic"/>
          <w:sz w:val="22"/>
          <w:szCs w:val="22"/>
        </w:rPr>
        <w:t>„</w:t>
      </w:r>
      <w:r w:rsidRPr="00C26EEE">
        <w:rPr>
          <w:rFonts w:ascii="Century Gothic" w:eastAsia="Century Gothic" w:hAnsi="Century Gothic" w:cs="Century Gothic"/>
          <w:i/>
          <w:sz w:val="22"/>
          <w:szCs w:val="22"/>
        </w:rPr>
        <w:t>Mattoni je s námi už několik let a v kabině to hodně oceňujeme. Kvalitní pitný režim je pro výkon důležitý a díky Mattoni máme vždycky všechno, co potřebujeme. Je fajn, že je s námi partner, na kterého je spoleh,</w:t>
      </w:r>
      <w:r w:rsidRPr="00C26EEE">
        <w:rPr>
          <w:rFonts w:ascii="Century Gothic" w:eastAsia="Century Gothic" w:hAnsi="Century Gothic" w:cs="Century Gothic"/>
          <w:sz w:val="22"/>
          <w:szCs w:val="22"/>
        </w:rPr>
        <w:t xml:space="preserve">“ poznamenal </w:t>
      </w:r>
      <w:r w:rsidRPr="00C26EEE">
        <w:rPr>
          <w:rFonts w:ascii="Century Gothic" w:eastAsia="Century Gothic" w:hAnsi="Century Gothic" w:cs="Century Gothic"/>
          <w:b/>
          <w:sz w:val="22"/>
          <w:szCs w:val="22"/>
        </w:rPr>
        <w:t>Ondřej Beránek, HC Energie</w:t>
      </w:r>
      <w:r w:rsidRPr="00C26EEE">
        <w:rPr>
          <w:rFonts w:ascii="Century Gothic" w:eastAsia="Century Gothic" w:hAnsi="Century Gothic" w:cs="Century Gothic"/>
          <w:sz w:val="22"/>
          <w:szCs w:val="22"/>
        </w:rPr>
        <w:t>.</w:t>
      </w:r>
    </w:p>
    <w:p w14:paraId="5C7D9DD8" w14:textId="7EB69377" w:rsidR="00FA4AFA" w:rsidRDefault="0089023D">
      <w:pPr>
        <w:spacing w:before="240" w:after="240"/>
        <w:jc w:val="both"/>
        <w:rPr>
          <w:rFonts w:ascii="Century Gothic" w:eastAsia="Century Gothic" w:hAnsi="Century Gothic" w:cs="Century Gothic"/>
          <w:sz w:val="22"/>
          <w:szCs w:val="22"/>
          <w:highlight w:val="cyan"/>
        </w:rPr>
      </w:pPr>
      <w:r>
        <w:rPr>
          <w:rFonts w:ascii="Century Gothic" w:eastAsia="Century Gothic" w:hAnsi="Century Gothic" w:cs="Century Gothic"/>
          <w:sz w:val="22"/>
          <w:szCs w:val="22"/>
        </w:rPr>
        <w:t xml:space="preserve">Současně se smlouvou o titulárním sponzorství bylo podepsáno i memorandum mezi Statutárním městem Karlovy Vary a společností Mattoni 1873, které deklaruje vůli ke vzájemné spolupráci v oblasti rozvoje sportu a kultury v regionu a posiluje spolupráci a koordinaci při společných akcích na území města.  </w:t>
      </w:r>
      <w:r>
        <w:rPr>
          <w:rFonts w:ascii="Century Gothic" w:eastAsia="Century Gothic" w:hAnsi="Century Gothic" w:cs="Century Gothic"/>
          <w:i/>
          <w:sz w:val="22"/>
          <w:szCs w:val="22"/>
        </w:rPr>
        <w:t>„Karlovy Vary a Mattoni 1873 se samozřejmě a nevyhnutelně potkávají při mnoha aktivitách a akcích, a to už desítky let. Dnes podepsané memorandum deklaruje zájem o další spolupráci, a jejím výsledkem je i dnešní smlouva o sponzorství Mattoni Areny,“</w:t>
      </w:r>
      <w:r w:rsidR="00C26EEE">
        <w:rPr>
          <w:rFonts w:ascii="Century Gothic" w:eastAsia="Century Gothic" w:hAnsi="Century Gothic" w:cs="Century Gothic"/>
          <w:i/>
          <w:sz w:val="22"/>
          <w:szCs w:val="22"/>
        </w:rPr>
        <w:t xml:space="preserve"> </w:t>
      </w:r>
      <w:r>
        <w:rPr>
          <w:rFonts w:ascii="Century Gothic" w:eastAsia="Century Gothic" w:hAnsi="Century Gothic" w:cs="Century Gothic"/>
          <w:sz w:val="22"/>
          <w:szCs w:val="22"/>
        </w:rPr>
        <w:t xml:space="preserve">doplnila </w:t>
      </w:r>
      <w:r>
        <w:rPr>
          <w:rFonts w:ascii="Century Gothic" w:eastAsia="Century Gothic" w:hAnsi="Century Gothic" w:cs="Century Gothic"/>
          <w:b/>
          <w:sz w:val="22"/>
          <w:szCs w:val="22"/>
        </w:rPr>
        <w:t xml:space="preserve">primátorka Karlových Varů Andrea Pfeffer </w:t>
      </w:r>
      <w:proofErr w:type="spellStart"/>
      <w:r>
        <w:rPr>
          <w:rFonts w:ascii="Century Gothic" w:eastAsia="Century Gothic" w:hAnsi="Century Gothic" w:cs="Century Gothic"/>
          <w:b/>
          <w:sz w:val="22"/>
          <w:szCs w:val="22"/>
        </w:rPr>
        <w:t>Ferklová</w:t>
      </w:r>
      <w:proofErr w:type="spellEnd"/>
      <w:r>
        <w:rPr>
          <w:rFonts w:ascii="Century Gothic" w:eastAsia="Century Gothic" w:hAnsi="Century Gothic" w:cs="Century Gothic"/>
          <w:sz w:val="22"/>
          <w:szCs w:val="22"/>
        </w:rPr>
        <w:t>.</w:t>
      </w:r>
    </w:p>
    <w:p w14:paraId="5A1D59F5" w14:textId="77777777" w:rsidR="00FA4AFA" w:rsidRDefault="0089023D">
      <w:pPr>
        <w:spacing w:before="240" w:after="24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Tato spolupráce se odehrává v jednom z nejvýznamnějších center veřejného života v kraji, které provozuje městská společnost KV Arena, s.r.o. Mattoni Arena je největší multifunkční areál v Karlovarském kraji, poskytující zázemí pro sportovní utkání, kulturní akce i kongresy. Od roku 2010 je domovem extraligového hokejového klubu HC Energie Karlovy Vary. Hlavní hala má kapacitu bezmála 6 000 diváků, při koncertech </w:t>
      </w:r>
      <w:r>
        <w:rPr>
          <w:rFonts w:ascii="Century Gothic" w:eastAsia="Century Gothic" w:hAnsi="Century Gothic" w:cs="Century Gothic"/>
          <w:sz w:val="22"/>
          <w:szCs w:val="22"/>
        </w:rPr>
        <w:lastRenderedPageBreak/>
        <w:t xml:space="preserve">a dalších kulturních akcích pojme až 7 500 návštěvníků. Komplex zahrnuje také tréninkovou halu, halu míčových sportů, atletický stadion a moderní bazénové centrum. </w:t>
      </w:r>
    </w:p>
    <w:p w14:paraId="3310FAD3" w14:textId="77777777" w:rsidR="00FA4AFA" w:rsidRDefault="0089023D">
      <w:pPr>
        <w:pStyle w:val="Nadpis3"/>
        <w:spacing w:before="240" w:after="24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Silné kořeny a aktivní současnost Mattoni 1873 v Karlovarském kraji</w:t>
      </w:r>
    </w:p>
    <w:p w14:paraId="2D733CEE" w14:textId="77777777" w:rsidR="00FA4AFA" w:rsidRDefault="0089023D">
      <w:pPr>
        <w:spacing w:before="240" w:after="24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Firma zakladatele Heinricha </w:t>
      </w:r>
      <w:proofErr w:type="spellStart"/>
      <w:r>
        <w:rPr>
          <w:rFonts w:ascii="Century Gothic" w:eastAsia="Century Gothic" w:hAnsi="Century Gothic" w:cs="Century Gothic"/>
          <w:sz w:val="22"/>
          <w:szCs w:val="22"/>
        </w:rPr>
        <w:t>Mattoniho</w:t>
      </w:r>
      <w:proofErr w:type="spellEnd"/>
      <w:r>
        <w:rPr>
          <w:rFonts w:ascii="Century Gothic" w:eastAsia="Century Gothic" w:hAnsi="Century Gothic" w:cs="Century Gothic"/>
          <w:sz w:val="22"/>
          <w:szCs w:val="22"/>
        </w:rPr>
        <w:t xml:space="preserve">  začala v Kyselce stáčet minerální vodu v roce 1873. Dnes Mattoni 1873 a.s. působí v 8 evropských zemích a šíří známost České republiky i Karlovarska jako evropsky významný producent minerálních vod a balených nápojů.  </w:t>
      </w:r>
    </w:p>
    <w:p w14:paraId="38F54CDB" w14:textId="3743E179" w:rsidR="00FA4AFA" w:rsidRDefault="0089023D">
      <w:pPr>
        <w:spacing w:before="240" w:after="24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Mattoni 1873 je s Karlovarským krajem spjata nejen svou minulostí, ale i každodenní přítomností. Ve svých závodech v Kyselce a Mnichově dlouhodobě zaměstnává </w:t>
      </w:r>
      <w:r w:rsidR="00E90525">
        <w:rPr>
          <w:rFonts w:ascii="Century Gothic" w:eastAsia="Century Gothic" w:hAnsi="Century Gothic" w:cs="Century Gothic"/>
          <w:sz w:val="22"/>
          <w:szCs w:val="22"/>
        </w:rPr>
        <w:t xml:space="preserve">téměř 300 </w:t>
      </w:r>
      <w:r>
        <w:rPr>
          <w:rFonts w:ascii="Century Gothic" w:eastAsia="Century Gothic" w:hAnsi="Century Gothic" w:cs="Century Gothic"/>
          <w:sz w:val="22"/>
          <w:szCs w:val="22"/>
        </w:rPr>
        <w:t>lidí a od roku 2022 pravidelně obsazuje první příčky soutěže Zaměstnavatel roku v kraji. I letos se stala jejím vítězem.</w:t>
      </w:r>
    </w:p>
    <w:p w14:paraId="35923198" w14:textId="4AF718E3" w:rsidR="00FA4AFA" w:rsidRDefault="0089023D">
      <w:pPr>
        <w:spacing w:before="240" w:after="240"/>
        <w:jc w:val="both"/>
        <w:rPr>
          <w:rFonts w:ascii="Century Gothic" w:eastAsia="Century Gothic" w:hAnsi="Century Gothic" w:cs="Century Gothic"/>
          <w:b/>
          <w:color w:val="000000"/>
          <w:sz w:val="22"/>
          <w:szCs w:val="22"/>
        </w:rPr>
      </w:pPr>
      <w:r>
        <w:rPr>
          <w:rFonts w:ascii="Century Gothic" w:eastAsia="Century Gothic" w:hAnsi="Century Gothic" w:cs="Century Gothic"/>
          <w:sz w:val="22"/>
          <w:szCs w:val="22"/>
        </w:rPr>
        <w:t xml:space="preserve">Od roku 2011 společnost vynaložila přes 133 milionů korun do obnovy historických budov. Nejvýznamnějšími investicemi byla oprava objektů </w:t>
      </w:r>
      <w:proofErr w:type="spellStart"/>
      <w:r>
        <w:rPr>
          <w:rFonts w:ascii="Century Gothic" w:eastAsia="Century Gothic" w:hAnsi="Century Gothic" w:cs="Century Gothic"/>
          <w:sz w:val="22"/>
          <w:szCs w:val="22"/>
        </w:rPr>
        <w:t>Stallburg</w:t>
      </w:r>
      <w:proofErr w:type="spellEnd"/>
      <w:r>
        <w:rPr>
          <w:rFonts w:ascii="Century Gothic" w:eastAsia="Century Gothic" w:hAnsi="Century Gothic" w:cs="Century Gothic"/>
          <w:sz w:val="22"/>
          <w:szCs w:val="22"/>
        </w:rPr>
        <w:t xml:space="preserve"> a </w:t>
      </w:r>
      <w:proofErr w:type="spellStart"/>
      <w:r>
        <w:rPr>
          <w:rFonts w:ascii="Century Gothic" w:eastAsia="Century Gothic" w:hAnsi="Century Gothic" w:cs="Century Gothic"/>
          <w:sz w:val="22"/>
          <w:szCs w:val="22"/>
        </w:rPr>
        <w:t>Löschner</w:t>
      </w:r>
      <w:proofErr w:type="spellEnd"/>
      <w:r>
        <w:rPr>
          <w:rFonts w:ascii="Century Gothic" w:eastAsia="Century Gothic" w:hAnsi="Century Gothic" w:cs="Century Gothic"/>
          <w:sz w:val="22"/>
          <w:szCs w:val="22"/>
        </w:rPr>
        <w:t xml:space="preserve">, kde vzniklo Mattoni Muzeum. Také je poskytována pravidelná finanční podpora obecně prospěšné společnosti Lázně Kyselka a obci Kyselka. </w:t>
      </w:r>
    </w:p>
    <w:p w14:paraId="44856B5C" w14:textId="77777777" w:rsidR="00FA4AFA" w:rsidRDefault="0089023D">
      <w:pPr>
        <w:spacing w:before="240" w:after="24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Udržitelná doprava a podpora druhové rozmanitosti</w:t>
      </w:r>
    </w:p>
    <w:p w14:paraId="4D748BC7" w14:textId="77777777" w:rsidR="00FA4AFA" w:rsidRDefault="0089023D">
      <w:pPr>
        <w:spacing w:before="240" w:after="240"/>
        <w:jc w:val="both"/>
        <w:rPr>
          <w:rFonts w:ascii="Century Gothic" w:eastAsia="Century Gothic" w:hAnsi="Century Gothic" w:cs="Century Gothic"/>
          <w:sz w:val="22"/>
          <w:szCs w:val="22"/>
        </w:rPr>
      </w:pPr>
      <w:r>
        <w:rPr>
          <w:rFonts w:ascii="Century Gothic" w:eastAsia="Century Gothic" w:hAnsi="Century Gothic" w:cs="Century Gothic"/>
          <w:sz w:val="22"/>
          <w:szCs w:val="22"/>
        </w:rPr>
        <w:t>Firma zrekonstruovala dlouhodobě nevyužívanou vlečku z Kyselky do Vojkovic nad Ohří a od roku 2012 po ní vypravila více než 920 nákladních vlaků. Díky tomu nahradila přes 20 000 jízd plně naložených kamionů. Ročně tímto způsobem přepraví 60 až 70 tisíc palet svých výrobků.</w:t>
      </w:r>
    </w:p>
    <w:p w14:paraId="0B232597" w14:textId="77777777" w:rsidR="00FA4AFA" w:rsidRDefault="0089023D">
      <w:pPr>
        <w:spacing w:before="240" w:after="240"/>
        <w:jc w:val="both"/>
        <w:rPr>
          <w:rFonts w:ascii="Century Gothic" w:eastAsia="Century Gothic" w:hAnsi="Century Gothic" w:cs="Century Gothic"/>
          <w:b/>
          <w:color w:val="000000"/>
          <w:sz w:val="22"/>
          <w:szCs w:val="22"/>
        </w:rPr>
      </w:pPr>
      <w:r>
        <w:rPr>
          <w:rFonts w:ascii="Century Gothic" w:eastAsia="Century Gothic" w:hAnsi="Century Gothic" w:cs="Century Gothic"/>
          <w:sz w:val="22"/>
          <w:szCs w:val="22"/>
        </w:rPr>
        <w:t>Společnost zároveň pečuje o krajinu v okolí svých pramenů. Ve spolupráci s Českým svazem ochránců přírody obnovuje květnaté louky, kosí náletové dřeviny, likviduje invazní druhy a plánuje vytvořit  nové tůně, aby v lokalitách rozvíjela biodiverzitu.</w:t>
      </w:r>
    </w:p>
    <w:p w14:paraId="5E65D298" w14:textId="77777777" w:rsidR="00FA4AFA" w:rsidRDefault="0089023D">
      <w:pPr>
        <w:spacing w:before="240" w:after="240"/>
        <w:jc w:val="both"/>
        <w:rPr>
          <w:rFonts w:ascii="Century Gothic" w:eastAsia="Century Gothic" w:hAnsi="Century Gothic" w:cs="Century Gothic"/>
          <w:b/>
          <w:color w:val="000000"/>
          <w:sz w:val="22"/>
          <w:szCs w:val="22"/>
        </w:rPr>
      </w:pPr>
      <w:r>
        <w:rPr>
          <w:rFonts w:ascii="Century Gothic" w:eastAsia="Century Gothic" w:hAnsi="Century Gothic" w:cs="Century Gothic"/>
          <w:b/>
          <w:color w:val="000000"/>
          <w:sz w:val="22"/>
          <w:szCs w:val="22"/>
        </w:rPr>
        <w:t>Život v regionu</w:t>
      </w:r>
    </w:p>
    <w:p w14:paraId="034CE8AA" w14:textId="77777777" w:rsidR="00FA4AFA" w:rsidRDefault="0089023D">
      <w:pPr>
        <w:spacing w:before="240" w:after="240"/>
        <w:jc w:val="both"/>
        <w:rPr>
          <w:rFonts w:ascii="Century Gothic" w:eastAsia="Century Gothic" w:hAnsi="Century Gothic" w:cs="Century Gothic"/>
          <w:sz w:val="22"/>
          <w:szCs w:val="22"/>
        </w:rPr>
      </w:pPr>
      <w:r>
        <w:rPr>
          <w:rFonts w:ascii="Century Gothic" w:eastAsia="Century Gothic" w:hAnsi="Century Gothic" w:cs="Century Gothic"/>
          <w:sz w:val="22"/>
          <w:szCs w:val="22"/>
        </w:rPr>
        <w:t xml:space="preserve">Mattoni je partnerem celé řady sportovních a kulturních akcí v Karlovarském kraji. Mezi ty nejvýznamnější patří </w:t>
      </w:r>
      <w:r>
        <w:rPr>
          <w:rFonts w:ascii="Century Gothic" w:eastAsia="Century Gothic" w:hAnsi="Century Gothic" w:cs="Century Gothic"/>
          <w:b/>
          <w:sz w:val="22"/>
          <w:szCs w:val="22"/>
        </w:rPr>
        <w:t>Mattoni ½ Maraton Karlovy Vary</w:t>
      </w:r>
      <w:r>
        <w:rPr>
          <w:rFonts w:ascii="Century Gothic" w:eastAsia="Century Gothic" w:hAnsi="Century Gothic" w:cs="Century Gothic"/>
          <w:sz w:val="22"/>
          <w:szCs w:val="22"/>
        </w:rPr>
        <w:t xml:space="preserve"> a </w:t>
      </w:r>
      <w:r>
        <w:rPr>
          <w:rFonts w:ascii="Century Gothic" w:eastAsia="Century Gothic" w:hAnsi="Century Gothic" w:cs="Century Gothic"/>
          <w:b/>
          <w:sz w:val="22"/>
          <w:szCs w:val="22"/>
        </w:rPr>
        <w:t>Mezinárodní filmový festival Karlovy Vary</w:t>
      </w:r>
      <w:r>
        <w:rPr>
          <w:rFonts w:ascii="Century Gothic" w:eastAsia="Century Gothic" w:hAnsi="Century Gothic" w:cs="Century Gothic"/>
          <w:sz w:val="22"/>
          <w:szCs w:val="22"/>
        </w:rPr>
        <w:t xml:space="preserve">, během nějž provozuje Mattoni </w:t>
      </w:r>
      <w:proofErr w:type="spellStart"/>
      <w:r>
        <w:rPr>
          <w:rFonts w:ascii="Century Gothic" w:eastAsia="Century Gothic" w:hAnsi="Century Gothic" w:cs="Century Gothic"/>
          <w:sz w:val="22"/>
          <w:szCs w:val="22"/>
        </w:rPr>
        <w:t>Life</w:t>
      </w:r>
      <w:proofErr w:type="spellEnd"/>
      <w:r>
        <w:rPr>
          <w:rFonts w:ascii="Century Gothic" w:eastAsia="Century Gothic" w:hAnsi="Century Gothic" w:cs="Century Gothic"/>
          <w:sz w:val="22"/>
          <w:szCs w:val="22"/>
        </w:rPr>
        <w:t xml:space="preserve"> Bar s každodenními koncerty pro veřejnost. Do města se navíc vrátil i </w:t>
      </w:r>
      <w:r>
        <w:rPr>
          <w:rFonts w:ascii="Century Gothic" w:eastAsia="Century Gothic" w:hAnsi="Century Gothic" w:cs="Century Gothic"/>
          <w:b/>
          <w:sz w:val="22"/>
          <w:szCs w:val="22"/>
        </w:rPr>
        <w:t>Mattoni Grand Drink</w:t>
      </w:r>
      <w:r>
        <w:rPr>
          <w:rFonts w:ascii="Century Gothic" w:eastAsia="Century Gothic" w:hAnsi="Century Gothic" w:cs="Century Gothic"/>
          <w:sz w:val="22"/>
          <w:szCs w:val="22"/>
        </w:rPr>
        <w:t xml:space="preserve"> – mistrovství světa v míchání nealkoholických koktejlů, které ve Varech historicky vzniklo a v posledních letech se zde znovu pravidelně koná.</w:t>
      </w:r>
    </w:p>
    <w:p w14:paraId="1D4899E1" w14:textId="77777777" w:rsidR="004724C8" w:rsidRDefault="004724C8">
      <w:pPr>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br w:type="page"/>
      </w:r>
    </w:p>
    <w:p w14:paraId="38867443" w14:textId="0D7D5C3F" w:rsidR="00FA4AFA" w:rsidRDefault="0089023D">
      <w:pPr>
        <w:pBdr>
          <w:top w:val="nil"/>
          <w:left w:val="nil"/>
          <w:bottom w:val="nil"/>
          <w:right w:val="nil"/>
          <w:between w:val="nil"/>
        </w:pBdr>
        <w:spacing w:before="240" w:after="24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lastRenderedPageBreak/>
        <w:t>O Mattoni 1873</w:t>
      </w:r>
    </w:p>
    <w:p w14:paraId="1926F228" w14:textId="77777777" w:rsidR="00FA4AFA" w:rsidRDefault="0089023D">
      <w:pPr>
        <w:pBdr>
          <w:top w:val="nil"/>
          <w:left w:val="nil"/>
          <w:bottom w:val="nil"/>
          <w:right w:val="nil"/>
          <w:between w:val="nil"/>
        </w:pBdr>
        <w:spacing w:after="6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Mattoni 1873, skupina kolem mateřské společnosti Mattoni 1873 a. s., je největším distributorem nealkoholických nápojů ve střední Evropě. Ambicí skupiny je přinášet díky skvělým značkám a úspěšné tradici lidem do života osvěžení, nyní i v budoucnu.</w:t>
      </w:r>
    </w:p>
    <w:p w14:paraId="06249B69" w14:textId="77777777" w:rsidR="00FA4AFA" w:rsidRDefault="0089023D">
      <w:pPr>
        <w:pBdr>
          <w:top w:val="nil"/>
          <w:left w:val="nil"/>
          <w:bottom w:val="nil"/>
          <w:right w:val="nil"/>
          <w:between w:val="nil"/>
        </w:pBdr>
        <w:spacing w:after="6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Kořeny skupiny sahají do roku 1873, ke karlovarskému rodákovi Heinrichu </w:t>
      </w:r>
      <w:proofErr w:type="spellStart"/>
      <w:r>
        <w:rPr>
          <w:rFonts w:ascii="Century Gothic" w:eastAsia="Century Gothic" w:hAnsi="Century Gothic" w:cs="Century Gothic"/>
          <w:color w:val="000000"/>
          <w:sz w:val="18"/>
          <w:szCs w:val="18"/>
        </w:rPr>
        <w:t>Mattonimu</w:t>
      </w:r>
      <w:proofErr w:type="spellEnd"/>
      <w:r>
        <w:rPr>
          <w:rFonts w:ascii="Century Gothic" w:eastAsia="Century Gothic" w:hAnsi="Century Gothic" w:cs="Century Gothic"/>
          <w:color w:val="000000"/>
          <w:sz w:val="18"/>
          <w:szCs w:val="18"/>
        </w:rPr>
        <w:t xml:space="preserve">. Novodobé kapitoly se začaly psát v 90. letech díky výrazným investicím nových majitelů, italské rodiny </w:t>
      </w:r>
      <w:proofErr w:type="spellStart"/>
      <w:r>
        <w:rPr>
          <w:rFonts w:ascii="Century Gothic" w:eastAsia="Century Gothic" w:hAnsi="Century Gothic" w:cs="Century Gothic"/>
          <w:color w:val="000000"/>
          <w:sz w:val="18"/>
          <w:szCs w:val="18"/>
        </w:rPr>
        <w:t>Pasquale</w:t>
      </w:r>
      <w:proofErr w:type="spellEnd"/>
      <w:r>
        <w:rPr>
          <w:rFonts w:ascii="Century Gothic" w:eastAsia="Century Gothic" w:hAnsi="Century Gothic" w:cs="Century Gothic"/>
          <w:color w:val="000000"/>
          <w:sz w:val="18"/>
          <w:szCs w:val="18"/>
        </w:rPr>
        <w:t>.</w:t>
      </w:r>
    </w:p>
    <w:p w14:paraId="456ACB6F" w14:textId="77777777" w:rsidR="00FA4AFA" w:rsidRDefault="0089023D">
      <w:pPr>
        <w:pBdr>
          <w:top w:val="nil"/>
          <w:left w:val="nil"/>
          <w:bottom w:val="nil"/>
          <w:right w:val="nil"/>
          <w:between w:val="nil"/>
        </w:pBdr>
        <w:spacing w:after="6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V ČR vyrábí skupina vedle tradiční minerální vody Mattoni také pramenitou vodu </w:t>
      </w:r>
      <w:proofErr w:type="spellStart"/>
      <w:r>
        <w:rPr>
          <w:rFonts w:ascii="Century Gothic" w:eastAsia="Century Gothic" w:hAnsi="Century Gothic" w:cs="Century Gothic"/>
          <w:color w:val="000000"/>
          <w:sz w:val="18"/>
          <w:szCs w:val="18"/>
        </w:rPr>
        <w:t>Aquila</w:t>
      </w:r>
      <w:proofErr w:type="spellEnd"/>
      <w:r>
        <w:rPr>
          <w:rFonts w:ascii="Century Gothic" w:eastAsia="Century Gothic" w:hAnsi="Century Gothic" w:cs="Century Gothic"/>
          <w:color w:val="000000"/>
          <w:sz w:val="18"/>
          <w:szCs w:val="18"/>
        </w:rPr>
        <w:t xml:space="preserve"> a minerální vody Magnesia, Poděbradka, Dobrá voda a Hanácká Kyselka; dále značky nealkoholických nápojů Pepsi, </w:t>
      </w:r>
      <w:proofErr w:type="spellStart"/>
      <w:r>
        <w:rPr>
          <w:rFonts w:ascii="Century Gothic" w:eastAsia="Century Gothic" w:hAnsi="Century Gothic" w:cs="Century Gothic"/>
          <w:color w:val="000000"/>
          <w:sz w:val="18"/>
          <w:szCs w:val="18"/>
        </w:rPr>
        <w:t>Mirinda</w:t>
      </w:r>
      <w:proofErr w:type="spellEnd"/>
      <w:r>
        <w:rPr>
          <w:rFonts w:ascii="Century Gothic" w:eastAsia="Century Gothic" w:hAnsi="Century Gothic" w:cs="Century Gothic"/>
          <w:color w:val="000000"/>
          <w:sz w:val="18"/>
          <w:szCs w:val="18"/>
        </w:rPr>
        <w:t xml:space="preserve">, 7UP, </w:t>
      </w:r>
      <w:proofErr w:type="spellStart"/>
      <w:r>
        <w:rPr>
          <w:rFonts w:ascii="Century Gothic" w:eastAsia="Century Gothic" w:hAnsi="Century Gothic" w:cs="Century Gothic"/>
          <w:color w:val="000000"/>
          <w:sz w:val="18"/>
          <w:szCs w:val="18"/>
        </w:rPr>
        <w:t>Schweppes</w:t>
      </w:r>
      <w:proofErr w:type="spellEnd"/>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Gatorade</w:t>
      </w:r>
      <w:proofErr w:type="spellEnd"/>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Mountain</w:t>
      </w:r>
      <w:proofErr w:type="spellEnd"/>
      <w:r>
        <w:rPr>
          <w:rFonts w:ascii="Century Gothic" w:eastAsia="Century Gothic" w:hAnsi="Century Gothic" w:cs="Century Gothic"/>
          <w:color w:val="000000"/>
          <w:sz w:val="18"/>
          <w:szCs w:val="18"/>
        </w:rPr>
        <w:t xml:space="preserve"> </w:t>
      </w:r>
      <w:proofErr w:type="spellStart"/>
      <w:r>
        <w:rPr>
          <w:rFonts w:ascii="Century Gothic" w:eastAsia="Century Gothic" w:hAnsi="Century Gothic" w:cs="Century Gothic"/>
          <w:color w:val="000000"/>
          <w:sz w:val="18"/>
          <w:szCs w:val="18"/>
        </w:rPr>
        <w:t>Dew</w:t>
      </w:r>
      <w:proofErr w:type="spellEnd"/>
      <w:r>
        <w:rPr>
          <w:rFonts w:ascii="Century Gothic" w:eastAsia="Century Gothic" w:hAnsi="Century Gothic" w:cs="Century Gothic"/>
          <w:color w:val="000000"/>
          <w:sz w:val="18"/>
          <w:szCs w:val="18"/>
        </w:rPr>
        <w:t xml:space="preserve">, a další. Distribuuje také </w:t>
      </w:r>
      <w:proofErr w:type="spellStart"/>
      <w:r>
        <w:rPr>
          <w:rFonts w:ascii="Century Gothic" w:eastAsia="Century Gothic" w:hAnsi="Century Gothic" w:cs="Century Gothic"/>
          <w:color w:val="000000"/>
          <w:sz w:val="18"/>
          <w:szCs w:val="18"/>
        </w:rPr>
        <w:t>snacky</w:t>
      </w:r>
      <w:proofErr w:type="spellEnd"/>
      <w:r>
        <w:rPr>
          <w:rFonts w:ascii="Century Gothic" w:eastAsia="Century Gothic" w:hAnsi="Century Gothic" w:cs="Century Gothic"/>
          <w:color w:val="000000"/>
          <w:sz w:val="18"/>
          <w:szCs w:val="18"/>
        </w:rPr>
        <w:t xml:space="preserve"> značky </w:t>
      </w:r>
      <w:proofErr w:type="spellStart"/>
      <w:r>
        <w:rPr>
          <w:rFonts w:ascii="Century Gothic" w:eastAsia="Century Gothic" w:hAnsi="Century Gothic" w:cs="Century Gothic"/>
          <w:color w:val="000000"/>
          <w:sz w:val="18"/>
          <w:szCs w:val="18"/>
        </w:rPr>
        <w:t>Lay’s</w:t>
      </w:r>
      <w:proofErr w:type="spellEnd"/>
      <w:r>
        <w:rPr>
          <w:rFonts w:ascii="Century Gothic" w:eastAsia="Century Gothic" w:hAnsi="Century Gothic" w:cs="Century Gothic"/>
          <w:color w:val="000000"/>
          <w:sz w:val="18"/>
          <w:szCs w:val="18"/>
        </w:rPr>
        <w:t>.</w:t>
      </w:r>
    </w:p>
    <w:p w14:paraId="2D0B3552" w14:textId="77777777" w:rsidR="00FA4AFA" w:rsidRDefault="0089023D">
      <w:pPr>
        <w:pBdr>
          <w:top w:val="nil"/>
          <w:left w:val="nil"/>
          <w:bottom w:val="nil"/>
          <w:right w:val="nil"/>
          <w:between w:val="nil"/>
        </w:pBdr>
        <w:spacing w:after="6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Své produkty v současné době Mattoni 1873 vyváží do téměř 20 zemí světa a jako mateřská společnost vlastní zahraniční značky minerálních vod v Rakousku, Maďarsku a Srbsku. V Rakousku, Bulharsku, Slovensku a Maďarsku je Mattoni 1873 výhradním výrobcem a distributorem nealkoholických nápojů značek firmy PepsiCo. Ve všech zemích, kde skupina operuje, zaměstnává na 3 200 zaměstnanců.</w:t>
      </w:r>
    </w:p>
    <w:p w14:paraId="22095605" w14:textId="77777777" w:rsidR="00FA4AFA" w:rsidRDefault="0089023D">
      <w:pPr>
        <w:pBdr>
          <w:top w:val="nil"/>
          <w:left w:val="nil"/>
          <w:bottom w:val="nil"/>
          <w:right w:val="nil"/>
          <w:between w:val="nil"/>
        </w:pBdr>
        <w:spacing w:after="6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Mattoni 1873 se významně podílí na kulturním, sportovním a společenském životě. Podporuje také projekty spojené s ochranou přírody a otázkou ekologie. Mattoni 1873 je zakladatelem iniciativy Zálohujme.cz, která usiluje o dlouhodobou udržitelnost nápojového odvětví prostřednictvím lokální recyklace PET lahví a plechovek. Další zajímavé informace naleznete na Twitteru @Mattoni1873, Facebooku @Mattoni1873 a </w:t>
      </w:r>
      <w:proofErr w:type="spellStart"/>
      <w:r>
        <w:rPr>
          <w:rFonts w:ascii="Century Gothic" w:eastAsia="Century Gothic" w:hAnsi="Century Gothic" w:cs="Century Gothic"/>
          <w:color w:val="000000"/>
          <w:sz w:val="18"/>
          <w:szCs w:val="18"/>
        </w:rPr>
        <w:t>LInkedIn</w:t>
      </w:r>
      <w:proofErr w:type="spellEnd"/>
      <w:r>
        <w:rPr>
          <w:rFonts w:ascii="Century Gothic" w:eastAsia="Century Gothic" w:hAnsi="Century Gothic" w:cs="Century Gothic"/>
          <w:color w:val="000000"/>
          <w:sz w:val="18"/>
          <w:szCs w:val="18"/>
        </w:rPr>
        <w:t>.</w:t>
      </w:r>
    </w:p>
    <w:p w14:paraId="5B35BF61" w14:textId="77777777" w:rsidR="00FA4AFA" w:rsidRDefault="00FA4AFA">
      <w:pPr>
        <w:pBdr>
          <w:top w:val="nil"/>
          <w:left w:val="nil"/>
          <w:bottom w:val="nil"/>
          <w:right w:val="nil"/>
          <w:between w:val="nil"/>
        </w:pBdr>
        <w:spacing w:after="60" w:line="240" w:lineRule="auto"/>
        <w:jc w:val="both"/>
        <w:rPr>
          <w:rFonts w:ascii="Century Gothic" w:eastAsia="Century Gothic" w:hAnsi="Century Gothic" w:cs="Century Gothic"/>
          <w:color w:val="000000"/>
          <w:sz w:val="18"/>
          <w:szCs w:val="18"/>
        </w:rPr>
      </w:pPr>
    </w:p>
    <w:p w14:paraId="37FBC39B" w14:textId="77777777" w:rsidR="00FA4AFA" w:rsidRDefault="0089023D">
      <w:pPr>
        <w:pBdr>
          <w:top w:val="nil"/>
          <w:left w:val="nil"/>
          <w:bottom w:val="nil"/>
          <w:right w:val="nil"/>
          <w:between w:val="nil"/>
        </w:pBdr>
        <w:spacing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Kontakt pro média:</w:t>
      </w:r>
    </w:p>
    <w:p w14:paraId="508BE334" w14:textId="77777777" w:rsidR="00FA4AFA" w:rsidRDefault="0089023D">
      <w:pP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Lutfia Miňovská</w:t>
      </w:r>
    </w:p>
    <w:p w14:paraId="21983030" w14:textId="77777777" w:rsidR="00FA4AFA" w:rsidRDefault="0089023D">
      <w:pP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 xml:space="preserve">Tisková mluvčí </w:t>
      </w:r>
    </w:p>
    <w:p w14:paraId="667D634C" w14:textId="77777777" w:rsidR="00FA4AFA" w:rsidRDefault="0089023D">
      <w:pP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color w:val="000000"/>
          <w:sz w:val="18"/>
          <w:szCs w:val="18"/>
        </w:rPr>
        <w:t>Mattoni 1873</w:t>
      </w:r>
    </w:p>
    <w:p w14:paraId="73574DD9" w14:textId="77777777" w:rsidR="00FA4AFA" w:rsidRDefault="0089023D">
      <w:pP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Tel.:</w:t>
      </w:r>
      <w:r>
        <w:rPr>
          <w:rFonts w:ascii="Century Gothic" w:eastAsia="Century Gothic" w:hAnsi="Century Gothic" w:cs="Century Gothic"/>
          <w:color w:val="000000"/>
          <w:sz w:val="18"/>
          <w:szCs w:val="18"/>
        </w:rPr>
        <w:t xml:space="preserve"> +420 607 602 328</w:t>
      </w:r>
    </w:p>
    <w:p w14:paraId="7752659B" w14:textId="77777777" w:rsidR="00FA4AFA" w:rsidRDefault="0089023D">
      <w:pPr>
        <w:spacing w:after="0" w:line="240" w:lineRule="auto"/>
        <w:jc w:val="both"/>
        <w:rPr>
          <w:rFonts w:ascii="Century Gothic" w:eastAsia="Century Gothic" w:hAnsi="Century Gothic" w:cs="Century Gothic"/>
          <w:color w:val="000000"/>
          <w:sz w:val="18"/>
          <w:szCs w:val="18"/>
        </w:rPr>
      </w:pPr>
      <w:r>
        <w:rPr>
          <w:rFonts w:ascii="Century Gothic" w:eastAsia="Century Gothic" w:hAnsi="Century Gothic" w:cs="Century Gothic"/>
          <w:b/>
          <w:color w:val="000000"/>
          <w:sz w:val="18"/>
          <w:szCs w:val="18"/>
        </w:rPr>
        <w:t>E-mail:</w:t>
      </w:r>
      <w:r>
        <w:rPr>
          <w:rFonts w:ascii="Century Gothic" w:eastAsia="Century Gothic" w:hAnsi="Century Gothic" w:cs="Century Gothic"/>
          <w:color w:val="000000"/>
          <w:sz w:val="18"/>
          <w:szCs w:val="18"/>
        </w:rPr>
        <w:t xml:space="preserve"> </w:t>
      </w:r>
      <w:hyperlink r:id="rId7">
        <w:r>
          <w:rPr>
            <w:rFonts w:ascii="Century Gothic" w:eastAsia="Century Gothic" w:hAnsi="Century Gothic" w:cs="Century Gothic"/>
            <w:color w:val="467886"/>
            <w:sz w:val="18"/>
            <w:szCs w:val="18"/>
            <w:u w:val="single"/>
          </w:rPr>
          <w:t>lutfia.minovska@mattoni.cz</w:t>
        </w:r>
      </w:hyperlink>
    </w:p>
    <w:p w14:paraId="2F10DB2E" w14:textId="77777777" w:rsidR="00FA4AFA" w:rsidRDefault="00FA4AFA">
      <w:pPr>
        <w:pStyle w:val="Nadpis3"/>
        <w:spacing w:before="281" w:after="281"/>
        <w:jc w:val="both"/>
        <w:rPr>
          <w:rFonts w:ascii="Century Gothic" w:eastAsia="Century Gothic" w:hAnsi="Century Gothic" w:cs="Century Gothic"/>
          <w:b/>
          <w:color w:val="000000"/>
          <w:sz w:val="22"/>
          <w:szCs w:val="22"/>
        </w:rPr>
      </w:pPr>
    </w:p>
    <w:p w14:paraId="34B52E88" w14:textId="77777777" w:rsidR="00FA4AFA" w:rsidRDefault="00FA4AFA">
      <w:pPr>
        <w:pStyle w:val="Nadpis3"/>
        <w:spacing w:before="281" w:after="281"/>
        <w:jc w:val="both"/>
        <w:rPr>
          <w:rFonts w:ascii="Century Gothic" w:eastAsia="Century Gothic" w:hAnsi="Century Gothic" w:cs="Century Gothic"/>
          <w:b/>
          <w:color w:val="000000"/>
          <w:sz w:val="22"/>
          <w:szCs w:val="22"/>
        </w:rPr>
      </w:pPr>
    </w:p>
    <w:p w14:paraId="25C6E170" w14:textId="77777777" w:rsidR="00FA4AFA" w:rsidRDefault="00FA4AFA">
      <w:pPr>
        <w:pStyle w:val="Nadpis3"/>
        <w:spacing w:before="281" w:after="281"/>
        <w:jc w:val="both"/>
        <w:rPr>
          <w:rFonts w:ascii="Century Gothic" w:eastAsia="Century Gothic" w:hAnsi="Century Gothic" w:cs="Century Gothic"/>
          <w:b/>
          <w:color w:val="000000"/>
          <w:sz w:val="22"/>
          <w:szCs w:val="22"/>
        </w:rPr>
      </w:pPr>
    </w:p>
    <w:p w14:paraId="59C34AD8" w14:textId="77777777" w:rsidR="00FA4AFA" w:rsidRDefault="00FA4AFA">
      <w:pPr>
        <w:pStyle w:val="Nadpis3"/>
        <w:spacing w:before="281" w:after="281"/>
        <w:jc w:val="both"/>
        <w:rPr>
          <w:rFonts w:ascii="Century Gothic" w:eastAsia="Century Gothic" w:hAnsi="Century Gothic" w:cs="Century Gothic"/>
          <w:b/>
          <w:color w:val="000000"/>
          <w:sz w:val="22"/>
          <w:szCs w:val="22"/>
        </w:rPr>
      </w:pPr>
    </w:p>
    <w:p w14:paraId="341B3369" w14:textId="77777777" w:rsidR="00FA4AFA" w:rsidRDefault="00FA4AFA">
      <w:pPr>
        <w:jc w:val="both"/>
        <w:rPr>
          <w:rFonts w:ascii="Century Gothic" w:eastAsia="Century Gothic" w:hAnsi="Century Gothic" w:cs="Century Gothic"/>
          <w:sz w:val="22"/>
          <w:szCs w:val="22"/>
        </w:rPr>
      </w:pPr>
    </w:p>
    <w:sectPr w:rsidR="00FA4AFA">
      <w:headerReference w:type="default" r:id="rId8"/>
      <w:footerReference w:type="default" r:id="rId9"/>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B3DB3" w14:textId="77777777" w:rsidR="0089023D" w:rsidRDefault="0089023D">
      <w:pPr>
        <w:spacing w:after="0" w:line="240" w:lineRule="auto"/>
      </w:pPr>
      <w:r>
        <w:separator/>
      </w:r>
    </w:p>
  </w:endnote>
  <w:endnote w:type="continuationSeparator" w:id="0">
    <w:p w14:paraId="2950AE75" w14:textId="77777777" w:rsidR="0089023D" w:rsidRDefault="00890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embedRegular r:id="rId1" w:fontKey="{8AC3DD6C-C0E2-4F9B-B04B-1C030A8AE8AC}"/>
    <w:embedBold r:id="rId2" w:fontKey="{A0F0D79C-B3B9-40E0-A398-899B5E686D9A}"/>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Regular r:id="rId3" w:fontKey="{B6752C31-0D81-4F9E-A126-40D720EB9E7E}"/>
    <w:embedItalic r:id="rId4" w:fontKey="{4AB2A3F0-85AB-4DC2-95F7-F306C9EFCB97}"/>
  </w:font>
  <w:font w:name="Century Gothic">
    <w:panose1 w:val="020B0502020202020204"/>
    <w:charset w:val="00"/>
    <w:family w:val="swiss"/>
    <w:pitch w:val="variable"/>
    <w:sig w:usb0="00000287" w:usb1="00000000" w:usb2="00000000" w:usb3="00000000" w:csb0="0000009F" w:csb1="00000000"/>
    <w:embedRegular r:id="rId5" w:fontKey="{3C866408-0C32-40DD-91EE-22EE1A33A68B}"/>
    <w:embedBold r:id="rId6" w:fontKey="{B20CA3D2-662F-45CD-8DF2-7FEB41277886}"/>
    <w:embedItalic r:id="rId7" w:fontKey="{B4B3662A-D691-48B6-9AED-ED2DAA133BBB}"/>
  </w:font>
  <w:font w:name="Aptos Display">
    <w:charset w:val="00"/>
    <w:family w:val="swiss"/>
    <w:pitch w:val="variable"/>
    <w:sig w:usb0="20000287" w:usb1="00000003" w:usb2="00000000" w:usb3="00000000" w:csb0="0000019F" w:csb1="00000000"/>
    <w:embedRegular r:id="rId8" w:fontKey="{2A61001D-6B94-404E-97EC-689A49F7F493}"/>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90AB9" w14:textId="77777777" w:rsidR="00FA4AFA" w:rsidRDefault="00FA4AFA">
    <w:pPr>
      <w:widowControl w:val="0"/>
      <w:pBdr>
        <w:top w:val="nil"/>
        <w:left w:val="nil"/>
        <w:bottom w:val="nil"/>
        <w:right w:val="nil"/>
        <w:between w:val="nil"/>
      </w:pBdr>
      <w:spacing w:after="0" w:line="276" w:lineRule="auto"/>
      <w:rPr>
        <w:color w:val="000000"/>
      </w:rPr>
    </w:pPr>
  </w:p>
  <w:tbl>
    <w:tblPr>
      <w:tblStyle w:val="a0"/>
      <w:tblW w:w="9015" w:type="dxa"/>
      <w:tblInd w:w="0" w:type="dxa"/>
      <w:tblLayout w:type="fixed"/>
      <w:tblLook w:val="0600" w:firstRow="0" w:lastRow="0" w:firstColumn="0" w:lastColumn="0" w:noHBand="1" w:noVBand="1"/>
    </w:tblPr>
    <w:tblGrid>
      <w:gridCol w:w="3005"/>
      <w:gridCol w:w="3005"/>
      <w:gridCol w:w="3005"/>
    </w:tblGrid>
    <w:tr w:rsidR="00FA4AFA" w14:paraId="3DFC2DB3" w14:textId="77777777">
      <w:trPr>
        <w:trHeight w:val="300"/>
      </w:trPr>
      <w:tc>
        <w:tcPr>
          <w:tcW w:w="3005" w:type="dxa"/>
        </w:tcPr>
        <w:p w14:paraId="0ECD2697" w14:textId="77777777" w:rsidR="00FA4AFA" w:rsidRDefault="00FA4AFA">
          <w:pPr>
            <w:pBdr>
              <w:top w:val="nil"/>
              <w:left w:val="nil"/>
              <w:bottom w:val="nil"/>
              <w:right w:val="nil"/>
              <w:between w:val="nil"/>
            </w:pBdr>
            <w:tabs>
              <w:tab w:val="center" w:pos="4680"/>
              <w:tab w:val="right" w:pos="9360"/>
            </w:tabs>
            <w:spacing w:after="0" w:line="240" w:lineRule="auto"/>
            <w:ind w:left="-115"/>
            <w:rPr>
              <w:color w:val="000000"/>
            </w:rPr>
          </w:pPr>
        </w:p>
      </w:tc>
      <w:tc>
        <w:tcPr>
          <w:tcW w:w="3005" w:type="dxa"/>
        </w:tcPr>
        <w:p w14:paraId="6F4E17FD" w14:textId="77777777" w:rsidR="00FA4AFA" w:rsidRDefault="00FA4AFA">
          <w:pPr>
            <w:pBdr>
              <w:top w:val="nil"/>
              <w:left w:val="nil"/>
              <w:bottom w:val="nil"/>
              <w:right w:val="nil"/>
              <w:between w:val="nil"/>
            </w:pBdr>
            <w:tabs>
              <w:tab w:val="center" w:pos="4680"/>
              <w:tab w:val="right" w:pos="9360"/>
            </w:tabs>
            <w:spacing w:after="0" w:line="240" w:lineRule="auto"/>
            <w:jc w:val="center"/>
            <w:rPr>
              <w:color w:val="000000"/>
            </w:rPr>
          </w:pPr>
        </w:p>
      </w:tc>
      <w:tc>
        <w:tcPr>
          <w:tcW w:w="3005" w:type="dxa"/>
        </w:tcPr>
        <w:p w14:paraId="21FB3A66" w14:textId="77777777" w:rsidR="00FA4AFA" w:rsidRDefault="00FA4AFA">
          <w:pPr>
            <w:pBdr>
              <w:top w:val="nil"/>
              <w:left w:val="nil"/>
              <w:bottom w:val="nil"/>
              <w:right w:val="nil"/>
              <w:between w:val="nil"/>
            </w:pBdr>
            <w:tabs>
              <w:tab w:val="center" w:pos="4680"/>
              <w:tab w:val="right" w:pos="9360"/>
            </w:tabs>
            <w:spacing w:after="0" w:line="240" w:lineRule="auto"/>
            <w:ind w:right="-115"/>
            <w:jc w:val="right"/>
            <w:rPr>
              <w:color w:val="000000"/>
            </w:rPr>
          </w:pPr>
        </w:p>
      </w:tc>
    </w:tr>
  </w:tbl>
  <w:p w14:paraId="0E721348" w14:textId="77777777" w:rsidR="00FA4AFA" w:rsidRDefault="00FA4AF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E1946" w14:textId="77777777" w:rsidR="0089023D" w:rsidRDefault="0089023D">
      <w:pPr>
        <w:spacing w:after="0" w:line="240" w:lineRule="auto"/>
      </w:pPr>
      <w:r>
        <w:separator/>
      </w:r>
    </w:p>
  </w:footnote>
  <w:footnote w:type="continuationSeparator" w:id="0">
    <w:p w14:paraId="17E466CF" w14:textId="77777777" w:rsidR="0089023D" w:rsidRDefault="00890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F530" w14:textId="77777777" w:rsidR="00FA4AFA" w:rsidRDefault="00FA4AFA">
    <w:pPr>
      <w:widowControl w:val="0"/>
      <w:pBdr>
        <w:top w:val="nil"/>
        <w:left w:val="nil"/>
        <w:bottom w:val="nil"/>
        <w:right w:val="nil"/>
        <w:between w:val="nil"/>
      </w:pBdr>
      <w:spacing w:after="0" w:line="276" w:lineRule="auto"/>
      <w:rPr>
        <w:rFonts w:ascii="Century Gothic" w:eastAsia="Century Gothic" w:hAnsi="Century Gothic" w:cs="Century Gothic"/>
        <w:sz w:val="22"/>
        <w:szCs w:val="22"/>
      </w:rPr>
    </w:pPr>
  </w:p>
  <w:tbl>
    <w:tblPr>
      <w:tblStyle w:val="a"/>
      <w:tblW w:w="9015" w:type="dxa"/>
      <w:tblInd w:w="0" w:type="dxa"/>
      <w:tblLayout w:type="fixed"/>
      <w:tblLook w:val="0600" w:firstRow="0" w:lastRow="0" w:firstColumn="0" w:lastColumn="0" w:noHBand="1" w:noVBand="1"/>
    </w:tblPr>
    <w:tblGrid>
      <w:gridCol w:w="3005"/>
      <w:gridCol w:w="3005"/>
      <w:gridCol w:w="3005"/>
    </w:tblGrid>
    <w:tr w:rsidR="00FA4AFA" w14:paraId="37B0F367" w14:textId="77777777">
      <w:trPr>
        <w:trHeight w:val="300"/>
      </w:trPr>
      <w:tc>
        <w:tcPr>
          <w:tcW w:w="3005" w:type="dxa"/>
        </w:tcPr>
        <w:p w14:paraId="26E00742" w14:textId="77777777" w:rsidR="00FA4AFA" w:rsidRDefault="0089023D">
          <w:pPr>
            <w:ind w:left="-115"/>
            <w:jc w:val="center"/>
          </w:pPr>
          <w:r>
            <w:rPr>
              <w:noProof/>
            </w:rPr>
            <w:drawing>
              <wp:inline distT="0" distB="0" distL="114300" distR="114300" wp14:anchorId="3F52DD3B" wp14:editId="68FE01FD">
                <wp:extent cx="1548179" cy="435164"/>
                <wp:effectExtent l="0" t="0" r="0" b="0"/>
                <wp:docPr id="139774774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548179" cy="435164"/>
                        </a:xfrm>
                        <a:prstGeom prst="rect">
                          <a:avLst/>
                        </a:prstGeom>
                        <a:ln/>
                      </pic:spPr>
                    </pic:pic>
                  </a:graphicData>
                </a:graphic>
              </wp:inline>
            </w:drawing>
          </w:r>
        </w:p>
      </w:tc>
      <w:tc>
        <w:tcPr>
          <w:tcW w:w="3005" w:type="dxa"/>
        </w:tcPr>
        <w:p w14:paraId="7B833A20" w14:textId="77777777" w:rsidR="00FA4AFA" w:rsidRDefault="0089023D">
          <w:pPr>
            <w:jc w:val="center"/>
          </w:pPr>
          <w:r>
            <w:br/>
          </w:r>
        </w:p>
      </w:tc>
      <w:tc>
        <w:tcPr>
          <w:tcW w:w="3005" w:type="dxa"/>
        </w:tcPr>
        <w:p w14:paraId="7459E4F1" w14:textId="77777777" w:rsidR="00FA4AFA" w:rsidRDefault="0089023D">
          <w:pPr>
            <w:ind w:right="-115"/>
            <w:jc w:val="center"/>
          </w:pPr>
          <w:r>
            <w:rPr>
              <w:noProof/>
            </w:rPr>
            <w:drawing>
              <wp:inline distT="0" distB="0" distL="114300" distR="114300" wp14:anchorId="739F33C7" wp14:editId="3D925693">
                <wp:extent cx="1755064" cy="436394"/>
                <wp:effectExtent l="0" t="0" r="0" b="0"/>
                <wp:docPr id="13977477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a:stretch>
                          <a:fillRect/>
                        </a:stretch>
                      </pic:blipFill>
                      <pic:spPr>
                        <a:xfrm>
                          <a:off x="0" y="0"/>
                          <a:ext cx="1755064" cy="436394"/>
                        </a:xfrm>
                        <a:prstGeom prst="rect">
                          <a:avLst/>
                        </a:prstGeom>
                        <a:ln/>
                      </pic:spPr>
                    </pic:pic>
                  </a:graphicData>
                </a:graphic>
              </wp:inline>
            </w:drawing>
          </w:r>
        </w:p>
      </w:tc>
    </w:tr>
  </w:tbl>
  <w:p w14:paraId="1A768804" w14:textId="77777777" w:rsidR="00FA4AFA" w:rsidRDefault="00FA4AF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AFA"/>
    <w:rsid w:val="001A4AB8"/>
    <w:rsid w:val="00393A57"/>
    <w:rsid w:val="004724C8"/>
    <w:rsid w:val="0089023D"/>
    <w:rsid w:val="0096190E"/>
    <w:rsid w:val="00976BEF"/>
    <w:rsid w:val="00B72C47"/>
    <w:rsid w:val="00C26EEE"/>
    <w:rsid w:val="00D65D86"/>
    <w:rsid w:val="00E90525"/>
    <w:rsid w:val="00FA4A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672DB"/>
  <w15:docId w15:val="{60300981-DF28-7D4E-8B28-13F83CE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cs-CZ" w:eastAsia="cs-CZ"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rsid w:val="68C84092"/>
    <w:pPr>
      <w:keepNext/>
      <w:keepLines/>
      <w:spacing w:before="160" w:after="80"/>
      <w:outlineLvl w:val="2"/>
    </w:pPr>
    <w:rPr>
      <w:rFonts w:eastAsiaTheme="minorEastAsia" w:cstheme="majorEastAsia"/>
      <w:color w:val="0F4761" w:themeColor="accent1" w:themeShade="BF"/>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uiPriority w:val="99"/>
    <w:unhideWhenUsed/>
    <w:rsid w:val="161AE0DE"/>
    <w:pPr>
      <w:tabs>
        <w:tab w:val="center" w:pos="4680"/>
        <w:tab w:val="right" w:pos="9360"/>
      </w:tabs>
      <w:spacing w:after="0" w:line="240" w:lineRule="auto"/>
    </w:pPr>
  </w:style>
  <w:style w:type="paragraph" w:styleId="Zpat">
    <w:name w:val="footer"/>
    <w:basedOn w:val="Normln"/>
    <w:uiPriority w:val="99"/>
    <w:unhideWhenUsed/>
    <w:rsid w:val="161AE0DE"/>
    <w:pPr>
      <w:tabs>
        <w:tab w:val="center" w:pos="4680"/>
        <w:tab w:val="right" w:pos="9360"/>
      </w:tabs>
      <w:spacing w:after="0" w:line="240" w:lineRule="auto"/>
    </w:pPr>
  </w:style>
  <w:style w:type="paragraph" w:customStyle="1" w:styleId="pf0">
    <w:name w:val="pf0"/>
    <w:basedOn w:val="Normln"/>
    <w:uiPriority w:val="1"/>
    <w:rsid w:val="161AE0DE"/>
    <w:pPr>
      <w:spacing w:beforeAutospacing="1" w:afterAutospacing="1" w:line="240" w:lineRule="auto"/>
    </w:pPr>
    <w:rPr>
      <w:rFonts w:eastAsiaTheme="minorEastAsia"/>
    </w:rPr>
  </w:style>
  <w:style w:type="paragraph" w:customStyle="1" w:styleId="paragraph">
    <w:name w:val="paragraph"/>
    <w:basedOn w:val="Normln"/>
    <w:uiPriority w:val="1"/>
    <w:rsid w:val="161AE0DE"/>
    <w:pPr>
      <w:spacing w:beforeAutospacing="1" w:afterAutospacing="1" w:line="240" w:lineRule="auto"/>
    </w:pPr>
    <w:rPr>
      <w:rFonts w:eastAsiaTheme="minorEastAsia"/>
    </w:rPr>
  </w:style>
  <w:style w:type="character" w:styleId="Hypertextovodkaz">
    <w:name w:val="Hyperlink"/>
    <w:basedOn w:val="Standardnpsmoodstavce"/>
    <w:uiPriority w:val="99"/>
    <w:unhideWhenUsed/>
    <w:rsid w:val="161AE0DE"/>
    <w:rPr>
      <w:color w:val="467886"/>
      <w:u w:val="single"/>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sz w:val="20"/>
      <w:szCs w:val="20"/>
    </w:rPr>
  </w:style>
  <w:style w:type="character" w:styleId="Odkaznakoment">
    <w:name w:val="annotation reference"/>
    <w:basedOn w:val="Standardnpsmoodstavce"/>
    <w:uiPriority w:val="99"/>
    <w:semiHidden/>
    <w:unhideWhenUsed/>
    <w:rPr>
      <w:sz w:val="16"/>
      <w:szCs w:val="16"/>
    </w:rPr>
  </w:style>
  <w:style w:type="paragraph" w:styleId="Revize">
    <w:name w:val="Revision"/>
    <w:hidden/>
    <w:uiPriority w:val="99"/>
    <w:semiHidden/>
    <w:rsid w:val="00513B0D"/>
    <w:pPr>
      <w:spacing w:after="0" w:line="240" w:lineRule="auto"/>
    </w:pPr>
  </w:style>
  <w:style w:type="paragraph" w:styleId="Pedmtkomente">
    <w:name w:val="annotation subject"/>
    <w:basedOn w:val="Textkomente"/>
    <w:next w:val="Textkomente"/>
    <w:link w:val="PedmtkomenteChar"/>
    <w:uiPriority w:val="99"/>
    <w:semiHidden/>
    <w:unhideWhenUsed/>
    <w:rsid w:val="00DE08FC"/>
    <w:rPr>
      <w:b/>
      <w:bCs/>
    </w:rPr>
  </w:style>
  <w:style w:type="character" w:customStyle="1" w:styleId="PedmtkomenteChar">
    <w:name w:val="Předmět komentáře Char"/>
    <w:basedOn w:val="TextkomenteChar"/>
    <w:link w:val="Pedmtkomente"/>
    <w:uiPriority w:val="99"/>
    <w:semiHidden/>
    <w:rsid w:val="00DE08FC"/>
    <w:rPr>
      <w:b/>
      <w:bCs/>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utfia.volfova@mattoni.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fN2nTdr7+jsZwcd5oGz721FRIg==">CgMxLjA4AHIhMVN4eXp2amRNYjVFZGZ4X3RnVEQ3QzQwNUVVSnliZzVp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5594</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Matulová Monika</dc:creator>
  <cp:lastModifiedBy>Sonnková Viktorie</cp:lastModifiedBy>
  <cp:revision>5</cp:revision>
  <dcterms:created xsi:type="dcterms:W3CDTF">2025-04-28T09:38:00Z</dcterms:created>
  <dcterms:modified xsi:type="dcterms:W3CDTF">2025-04-29T12:44:00Z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0x0101006049F4E44D781B4280EE4EB09E3B3596</vt:lpwstr>
  </property>
  <property fmtid="{D5CDD505-2E9C-101B-9397-08002B2CF9AE}" pid="3" name="MediaServiceImageTags">
    <vt:lpwstr/>
  </property>
</Properties>
</file>