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31DF6" w14:textId="507AFE76" w:rsidR="00785644" w:rsidRPr="00B53EF1" w:rsidRDefault="00785644" w:rsidP="00785644">
      <w:pPr>
        <w:rPr>
          <w:rFonts w:ascii="Aptos" w:hAnsi="Aptos"/>
          <w:color w:val="000000" w:themeColor="text1"/>
          <w:sz w:val="22"/>
          <w:szCs w:val="22"/>
        </w:rPr>
      </w:pPr>
      <w:r w:rsidRPr="00B53EF1">
        <w:rPr>
          <w:rFonts w:ascii="Aptos" w:hAnsi="Aptos"/>
          <w:i/>
          <w:iCs/>
          <w:color w:val="000000" w:themeColor="text1"/>
          <w:sz w:val="22"/>
          <w:szCs w:val="22"/>
        </w:rPr>
        <w:t xml:space="preserve">Informacja prasowa                                                                                                                  </w:t>
      </w:r>
      <w:r w:rsidR="00B53EF1" w:rsidRPr="00B53EF1">
        <w:rPr>
          <w:rFonts w:ascii="Aptos" w:hAnsi="Aptos"/>
          <w:i/>
          <w:iCs/>
          <w:color w:val="000000" w:themeColor="text1"/>
          <w:sz w:val="22"/>
          <w:szCs w:val="22"/>
        </w:rPr>
        <w:t xml:space="preserve">           </w:t>
      </w:r>
      <w:r w:rsidR="00D75A76">
        <w:rPr>
          <w:rFonts w:ascii="Aptos" w:hAnsi="Aptos"/>
          <w:color w:val="000000" w:themeColor="text1"/>
          <w:sz w:val="22"/>
          <w:szCs w:val="22"/>
        </w:rPr>
        <w:t>20</w:t>
      </w:r>
      <w:r w:rsidRPr="00B53EF1">
        <w:rPr>
          <w:rFonts w:ascii="Aptos" w:hAnsi="Aptos"/>
          <w:color w:val="000000" w:themeColor="text1"/>
          <w:sz w:val="22"/>
          <w:szCs w:val="22"/>
        </w:rPr>
        <w:t>-07-2026 r.</w:t>
      </w:r>
    </w:p>
    <w:p w14:paraId="04CA7C65" w14:textId="77777777" w:rsidR="00785644" w:rsidRPr="00B53EF1" w:rsidRDefault="00785644" w:rsidP="00785644">
      <w:pPr>
        <w:rPr>
          <w:rFonts w:ascii="Aptos" w:hAnsi="Aptos"/>
          <w:b/>
          <w:bCs/>
          <w:color w:val="000000" w:themeColor="text1"/>
          <w:sz w:val="22"/>
          <w:szCs w:val="22"/>
        </w:rPr>
      </w:pPr>
    </w:p>
    <w:p w14:paraId="57B55D3C" w14:textId="1A55101B" w:rsidR="00785644" w:rsidRPr="00B53EF1" w:rsidRDefault="00785644" w:rsidP="00785644">
      <w:pPr>
        <w:rPr>
          <w:rFonts w:ascii="Aptos" w:hAnsi="Aptos"/>
          <w:b/>
          <w:bCs/>
          <w:color w:val="000000" w:themeColor="text1"/>
          <w:sz w:val="28"/>
          <w:szCs w:val="28"/>
        </w:rPr>
      </w:pPr>
      <w:proofErr w:type="spellStart"/>
      <w:r w:rsidRPr="00B53EF1">
        <w:rPr>
          <w:rFonts w:ascii="Aptos" w:hAnsi="Aptos"/>
          <w:b/>
          <w:bCs/>
          <w:color w:val="000000" w:themeColor="text1"/>
          <w:sz w:val="28"/>
          <w:szCs w:val="28"/>
        </w:rPr>
        <w:t>European</w:t>
      </w:r>
      <w:proofErr w:type="spellEnd"/>
      <w:r w:rsidRPr="00B53EF1">
        <w:rPr>
          <w:rFonts w:ascii="Aptos" w:hAnsi="Aptos"/>
          <w:b/>
          <w:bCs/>
          <w:color w:val="000000" w:themeColor="text1"/>
          <w:sz w:val="28"/>
          <w:szCs w:val="28"/>
        </w:rPr>
        <w:t xml:space="preserve"> Action Plan: elektryfikacja gospodarki uniezależni Europę od importu paliw </w:t>
      </w:r>
    </w:p>
    <w:p w14:paraId="590CDC5B" w14:textId="77777777" w:rsidR="00785644" w:rsidRPr="00B53EF1" w:rsidRDefault="00785644" w:rsidP="00785644">
      <w:pPr>
        <w:rPr>
          <w:rFonts w:ascii="Aptos" w:hAnsi="Aptos"/>
          <w:b/>
          <w:bCs/>
          <w:color w:val="000000" w:themeColor="text1"/>
          <w:sz w:val="22"/>
          <w:szCs w:val="22"/>
        </w:rPr>
      </w:pPr>
    </w:p>
    <w:p w14:paraId="70DF6BA7" w14:textId="4E27CED4" w:rsidR="00D77E48" w:rsidRPr="00B53EF1" w:rsidRDefault="00785644" w:rsidP="00623CFE">
      <w:pPr>
        <w:pStyle w:val="Akapitzlist"/>
        <w:numPr>
          <w:ilvl w:val="0"/>
          <w:numId w:val="14"/>
        </w:numPr>
        <w:ind w:left="284" w:hanging="284"/>
        <w:jc w:val="both"/>
        <w:rPr>
          <w:rFonts w:ascii="Aptos" w:hAnsi="Aptos"/>
          <w:b/>
          <w:bCs/>
          <w:color w:val="000000" w:themeColor="text1"/>
          <w:sz w:val="22"/>
          <w:szCs w:val="22"/>
        </w:rPr>
      </w:pPr>
      <w:r w:rsidRPr="00B53EF1">
        <w:rPr>
          <w:rFonts w:ascii="Aptos" w:hAnsi="Aptos"/>
          <w:b/>
          <w:bCs/>
          <w:color w:val="000000" w:themeColor="text1"/>
          <w:sz w:val="22"/>
          <w:szCs w:val="22"/>
        </w:rPr>
        <w:t xml:space="preserve">Komisja Europejska opublikowała </w:t>
      </w:r>
      <w:proofErr w:type="spellStart"/>
      <w:r w:rsidRPr="00B53EF1">
        <w:rPr>
          <w:rFonts w:ascii="Aptos" w:hAnsi="Aptos"/>
          <w:b/>
          <w:bCs/>
          <w:color w:val="000000" w:themeColor="text1"/>
          <w:sz w:val="22"/>
          <w:szCs w:val="22"/>
        </w:rPr>
        <w:t>Electrification</w:t>
      </w:r>
      <w:proofErr w:type="spellEnd"/>
      <w:r w:rsidRPr="00B53EF1">
        <w:rPr>
          <w:rFonts w:ascii="Aptos" w:hAnsi="Aptos"/>
          <w:b/>
          <w:bCs/>
          <w:color w:val="000000" w:themeColor="text1"/>
          <w:sz w:val="22"/>
          <w:szCs w:val="22"/>
        </w:rPr>
        <w:t xml:space="preserve"> Action Plan – dokument strategiczny wyznaczający niezbędne działania i cele związane z elektryfikacją gospodarki</w:t>
      </w:r>
      <w:r w:rsidR="00D77E48" w:rsidRPr="00B53EF1">
        <w:rPr>
          <w:rFonts w:ascii="Aptos" w:hAnsi="Aptos"/>
          <w:b/>
          <w:bCs/>
          <w:color w:val="000000" w:themeColor="text1"/>
          <w:sz w:val="22"/>
          <w:szCs w:val="22"/>
        </w:rPr>
        <w:t>.</w:t>
      </w:r>
      <w:r w:rsidRPr="00B53EF1">
        <w:rPr>
          <w:rFonts w:ascii="Aptos" w:hAnsi="Aptos"/>
          <w:b/>
          <w:bCs/>
          <w:color w:val="000000" w:themeColor="text1"/>
          <w:sz w:val="22"/>
          <w:szCs w:val="22"/>
        </w:rPr>
        <w:t xml:space="preserve"> </w:t>
      </w:r>
      <w:r w:rsidR="00D77E48" w:rsidRPr="00B53EF1">
        <w:rPr>
          <w:rFonts w:ascii="Aptos" w:hAnsi="Aptos"/>
          <w:b/>
          <w:bCs/>
          <w:color w:val="000000" w:themeColor="text1"/>
          <w:sz w:val="22"/>
          <w:szCs w:val="22"/>
        </w:rPr>
        <w:t>Równolegle Komisja zaproponowała przegląd dyrektywy w sprawie ETS.</w:t>
      </w:r>
    </w:p>
    <w:p w14:paraId="55A19D47" w14:textId="0480F879" w:rsidR="00D77E48" w:rsidRPr="00B53EF1" w:rsidRDefault="00785644" w:rsidP="00623CFE">
      <w:pPr>
        <w:pStyle w:val="Akapitzlist"/>
        <w:numPr>
          <w:ilvl w:val="0"/>
          <w:numId w:val="14"/>
        </w:numPr>
        <w:ind w:left="284" w:hanging="284"/>
        <w:jc w:val="both"/>
        <w:rPr>
          <w:rFonts w:ascii="Aptos" w:hAnsi="Aptos"/>
          <w:b/>
          <w:bCs/>
          <w:color w:val="000000" w:themeColor="text1"/>
          <w:sz w:val="22"/>
          <w:szCs w:val="22"/>
        </w:rPr>
      </w:pPr>
      <w:r w:rsidRPr="00B53EF1">
        <w:rPr>
          <w:rFonts w:ascii="Aptos" w:hAnsi="Aptos"/>
          <w:b/>
          <w:bCs/>
          <w:color w:val="000000" w:themeColor="text1"/>
          <w:sz w:val="22"/>
          <w:szCs w:val="22"/>
        </w:rPr>
        <w:t xml:space="preserve">Celem </w:t>
      </w:r>
      <w:proofErr w:type="spellStart"/>
      <w:r w:rsidR="00D77E48" w:rsidRPr="00B53EF1">
        <w:rPr>
          <w:rFonts w:ascii="Aptos" w:hAnsi="Aptos"/>
          <w:b/>
          <w:bCs/>
          <w:color w:val="000000" w:themeColor="text1"/>
          <w:sz w:val="22"/>
          <w:szCs w:val="22"/>
        </w:rPr>
        <w:t>Electrification</w:t>
      </w:r>
      <w:proofErr w:type="spellEnd"/>
      <w:r w:rsidR="00D77E48" w:rsidRPr="00B53EF1">
        <w:rPr>
          <w:rFonts w:ascii="Aptos" w:hAnsi="Aptos"/>
          <w:b/>
          <w:bCs/>
          <w:color w:val="000000" w:themeColor="text1"/>
          <w:sz w:val="22"/>
          <w:szCs w:val="22"/>
        </w:rPr>
        <w:t xml:space="preserve"> Action Plan</w:t>
      </w:r>
      <w:r w:rsidRPr="00B53EF1">
        <w:rPr>
          <w:rFonts w:ascii="Aptos" w:hAnsi="Aptos"/>
          <w:b/>
          <w:bCs/>
          <w:color w:val="000000" w:themeColor="text1"/>
          <w:sz w:val="22"/>
          <w:szCs w:val="22"/>
        </w:rPr>
        <w:t xml:space="preserve"> jest ograniczeni</w:t>
      </w:r>
      <w:r w:rsidR="00623CFE" w:rsidRPr="00B53EF1">
        <w:rPr>
          <w:rFonts w:ascii="Aptos" w:hAnsi="Aptos"/>
          <w:b/>
          <w:bCs/>
          <w:color w:val="000000" w:themeColor="text1"/>
          <w:sz w:val="22"/>
          <w:szCs w:val="22"/>
        </w:rPr>
        <w:t>e</w:t>
      </w:r>
      <w:r w:rsidRPr="00B53EF1">
        <w:rPr>
          <w:rFonts w:ascii="Aptos" w:hAnsi="Aptos"/>
          <w:b/>
          <w:bCs/>
          <w:color w:val="000000" w:themeColor="text1"/>
          <w:sz w:val="22"/>
          <w:szCs w:val="22"/>
        </w:rPr>
        <w:t xml:space="preserve"> uzależnienia od importu paliw kopalnych, k</w:t>
      </w:r>
      <w:r w:rsidR="00D77E48" w:rsidRPr="00B53EF1">
        <w:rPr>
          <w:rFonts w:ascii="Aptos" w:hAnsi="Aptos"/>
          <w:b/>
          <w:bCs/>
          <w:color w:val="000000" w:themeColor="text1"/>
          <w:sz w:val="22"/>
          <w:szCs w:val="22"/>
        </w:rPr>
        <w:t xml:space="preserve">tóre zagraża bezpieczeństwu energetycznemu oraz </w:t>
      </w:r>
      <w:r w:rsidR="00623CFE" w:rsidRPr="00B53EF1">
        <w:rPr>
          <w:rFonts w:ascii="Aptos" w:hAnsi="Aptos"/>
          <w:b/>
          <w:bCs/>
          <w:color w:val="000000" w:themeColor="text1"/>
          <w:sz w:val="22"/>
          <w:szCs w:val="22"/>
        </w:rPr>
        <w:t>konkurencyjności przemysłu</w:t>
      </w:r>
      <w:r w:rsidR="00D77E48" w:rsidRPr="00B53EF1">
        <w:rPr>
          <w:rFonts w:ascii="Aptos" w:hAnsi="Aptos"/>
          <w:b/>
          <w:bCs/>
          <w:color w:val="000000" w:themeColor="text1"/>
          <w:sz w:val="22"/>
          <w:szCs w:val="22"/>
        </w:rPr>
        <w:t xml:space="preserve"> UE</w:t>
      </w:r>
      <w:r w:rsidR="00623CFE" w:rsidRPr="00B53EF1">
        <w:rPr>
          <w:rFonts w:ascii="Aptos" w:hAnsi="Aptos"/>
          <w:b/>
          <w:bCs/>
          <w:color w:val="000000" w:themeColor="text1"/>
          <w:sz w:val="22"/>
          <w:szCs w:val="22"/>
        </w:rPr>
        <w:t xml:space="preserve">. </w:t>
      </w:r>
      <w:r w:rsidR="00B53EF1">
        <w:rPr>
          <w:rFonts w:ascii="Aptos" w:hAnsi="Aptos"/>
          <w:b/>
          <w:bCs/>
          <w:color w:val="000000" w:themeColor="text1"/>
          <w:sz w:val="22"/>
          <w:szCs w:val="22"/>
        </w:rPr>
        <w:t>Ma to</w:t>
      </w:r>
      <w:r w:rsidR="00623CFE" w:rsidRPr="00B53EF1">
        <w:rPr>
          <w:rFonts w:ascii="Aptos" w:hAnsi="Aptos"/>
          <w:b/>
          <w:bCs/>
          <w:color w:val="000000" w:themeColor="text1"/>
          <w:sz w:val="22"/>
          <w:szCs w:val="22"/>
        </w:rPr>
        <w:t xml:space="preserve"> zapewnić oszczędności na poziomie 260 mld EUR rocznie. </w:t>
      </w:r>
    </w:p>
    <w:p w14:paraId="2CBAF208" w14:textId="6C7DCAEB" w:rsidR="00623CFE" w:rsidRPr="00B53EF1" w:rsidRDefault="00623CFE" w:rsidP="00623CFE">
      <w:pPr>
        <w:pStyle w:val="Akapitzlist"/>
        <w:numPr>
          <w:ilvl w:val="0"/>
          <w:numId w:val="14"/>
        </w:numPr>
        <w:ind w:left="284" w:hanging="284"/>
        <w:jc w:val="both"/>
        <w:rPr>
          <w:rFonts w:ascii="Aptos" w:hAnsi="Aptos"/>
          <w:b/>
          <w:bCs/>
          <w:color w:val="000000" w:themeColor="text1"/>
          <w:sz w:val="22"/>
          <w:szCs w:val="22"/>
        </w:rPr>
      </w:pPr>
      <w:r w:rsidRPr="00B53EF1">
        <w:rPr>
          <w:rFonts w:ascii="Aptos" w:hAnsi="Aptos"/>
          <w:b/>
          <w:bCs/>
          <w:color w:val="000000" w:themeColor="text1"/>
          <w:sz w:val="22"/>
          <w:szCs w:val="22"/>
        </w:rPr>
        <w:t xml:space="preserve">Dokument </w:t>
      </w:r>
      <w:r w:rsidR="00D77E48" w:rsidRPr="00B53EF1">
        <w:rPr>
          <w:rFonts w:ascii="Aptos" w:hAnsi="Aptos"/>
          <w:b/>
          <w:bCs/>
          <w:color w:val="000000" w:themeColor="text1"/>
          <w:sz w:val="22"/>
          <w:szCs w:val="22"/>
        </w:rPr>
        <w:t xml:space="preserve">Komisji </w:t>
      </w:r>
      <w:r w:rsidRPr="00B53EF1">
        <w:rPr>
          <w:rFonts w:ascii="Aptos" w:hAnsi="Aptos"/>
          <w:b/>
          <w:bCs/>
          <w:color w:val="000000" w:themeColor="text1"/>
          <w:sz w:val="22"/>
          <w:szCs w:val="22"/>
        </w:rPr>
        <w:t>podkreśla rolę pojazdów elektrycznych jako mobilnych magazynów energii</w:t>
      </w:r>
      <w:r w:rsidR="00B53EF1">
        <w:rPr>
          <w:rFonts w:ascii="Aptos" w:hAnsi="Aptos"/>
          <w:b/>
          <w:bCs/>
          <w:color w:val="000000" w:themeColor="text1"/>
          <w:sz w:val="22"/>
          <w:szCs w:val="22"/>
        </w:rPr>
        <w:t>,</w:t>
      </w:r>
      <w:r w:rsidRPr="00B53EF1">
        <w:rPr>
          <w:rFonts w:ascii="Aptos" w:hAnsi="Aptos"/>
          <w:b/>
          <w:bCs/>
          <w:color w:val="000000" w:themeColor="text1"/>
          <w:sz w:val="22"/>
          <w:szCs w:val="22"/>
        </w:rPr>
        <w:t xml:space="preserve"> pozytywnie wpływających na elastyczność systemu elektroenergetycznego.</w:t>
      </w:r>
      <w:r w:rsidRPr="00B53EF1">
        <w:rPr>
          <w:rFonts w:ascii="Aptos" w:eastAsia="Times New Roman" w:hAnsi="Aptos" w:cs="Times New Roman"/>
          <w:color w:val="000000" w:themeColor="text1"/>
          <w:lang w:eastAsia="pl-PL"/>
        </w:rPr>
        <w:t xml:space="preserve"> </w:t>
      </w:r>
      <w:r w:rsidRPr="00B53EF1">
        <w:rPr>
          <w:rFonts w:ascii="Aptos" w:hAnsi="Aptos"/>
          <w:b/>
          <w:bCs/>
          <w:color w:val="000000" w:themeColor="text1"/>
          <w:sz w:val="22"/>
          <w:szCs w:val="22"/>
        </w:rPr>
        <w:t xml:space="preserve">To potwierdza, że elektryfikacja nie jest już wyłącznie elementem polityki klimatycznej, ale przede wszystkim fundamentem odporności gospodarczej Europy – ocenia PSNM. </w:t>
      </w:r>
    </w:p>
    <w:p w14:paraId="3683D34F" w14:textId="77777777" w:rsidR="00C636D1" w:rsidRPr="00B53EF1" w:rsidRDefault="00C636D1" w:rsidP="00623CFE">
      <w:pPr>
        <w:jc w:val="both"/>
        <w:rPr>
          <w:rFonts w:ascii="Aptos" w:hAnsi="Aptos"/>
          <w:b/>
          <w:bCs/>
          <w:color w:val="000000" w:themeColor="text1"/>
          <w:sz w:val="22"/>
          <w:szCs w:val="22"/>
        </w:rPr>
      </w:pPr>
    </w:p>
    <w:p w14:paraId="3D3CD4D5" w14:textId="1980DAC6" w:rsidR="00785644" w:rsidRPr="00B53EF1" w:rsidRDefault="00623CFE" w:rsidP="00895E2C">
      <w:pPr>
        <w:jc w:val="both"/>
        <w:rPr>
          <w:rFonts w:ascii="Aptos" w:hAnsi="Aptos" w:cs="Arial"/>
          <w:color w:val="000000" w:themeColor="text1"/>
          <w:sz w:val="22"/>
          <w:szCs w:val="22"/>
        </w:rPr>
      </w:pPr>
      <w:r w:rsidRPr="00B53EF1">
        <w:rPr>
          <w:rFonts w:ascii="Aptos" w:hAnsi="Aptos" w:cs="Arial"/>
          <w:color w:val="000000" w:themeColor="text1"/>
          <w:sz w:val="22"/>
          <w:szCs w:val="22"/>
        </w:rPr>
        <w:t xml:space="preserve">17 lipca </w:t>
      </w:r>
      <w:r w:rsidR="00785644" w:rsidRPr="00B53EF1">
        <w:rPr>
          <w:rFonts w:ascii="Aptos" w:hAnsi="Aptos" w:cs="Arial"/>
          <w:color w:val="000000" w:themeColor="text1"/>
          <w:sz w:val="22"/>
          <w:szCs w:val="22"/>
        </w:rPr>
        <w:t xml:space="preserve">Komisja </w:t>
      </w:r>
      <w:r w:rsidR="00895E2C" w:rsidRPr="00B53EF1">
        <w:rPr>
          <w:rFonts w:ascii="Aptos" w:hAnsi="Aptos" w:cs="Arial"/>
          <w:color w:val="000000" w:themeColor="text1"/>
          <w:sz w:val="22"/>
          <w:szCs w:val="22"/>
        </w:rPr>
        <w:t xml:space="preserve">Europejska </w:t>
      </w:r>
      <w:r w:rsidR="00785644" w:rsidRPr="00B53EF1">
        <w:rPr>
          <w:rFonts w:ascii="Aptos" w:hAnsi="Aptos" w:cs="Arial"/>
          <w:color w:val="000000" w:themeColor="text1"/>
          <w:sz w:val="22"/>
          <w:szCs w:val="22"/>
        </w:rPr>
        <w:t xml:space="preserve">przedstawiła </w:t>
      </w:r>
      <w:proofErr w:type="spellStart"/>
      <w:r w:rsidRPr="00B53EF1">
        <w:rPr>
          <w:rStyle w:val="Pogrubienie"/>
          <w:rFonts w:ascii="Aptos" w:hAnsi="Aptos" w:cs="Arial"/>
          <w:b w:val="0"/>
          <w:bCs w:val="0"/>
          <w:color w:val="000000" w:themeColor="text1"/>
          <w:sz w:val="22"/>
          <w:szCs w:val="22"/>
        </w:rPr>
        <w:t>Electrification</w:t>
      </w:r>
      <w:proofErr w:type="spellEnd"/>
      <w:r w:rsidRPr="00B53EF1">
        <w:rPr>
          <w:rStyle w:val="Pogrubienie"/>
          <w:rFonts w:ascii="Aptos" w:hAnsi="Aptos" w:cs="Arial"/>
          <w:b w:val="0"/>
          <w:bCs w:val="0"/>
          <w:color w:val="000000" w:themeColor="text1"/>
          <w:sz w:val="22"/>
          <w:szCs w:val="22"/>
        </w:rPr>
        <w:t xml:space="preserve"> Action Plan</w:t>
      </w:r>
      <w:r w:rsidR="00785644" w:rsidRPr="00B53EF1">
        <w:rPr>
          <w:rFonts w:ascii="Aptos" w:hAnsi="Aptos" w:cs="Arial"/>
          <w:color w:val="000000" w:themeColor="text1"/>
          <w:sz w:val="22"/>
          <w:szCs w:val="22"/>
        </w:rPr>
        <w:t xml:space="preserve">, dzięki któremu Europa </w:t>
      </w:r>
      <w:r w:rsidRPr="00B53EF1">
        <w:rPr>
          <w:rFonts w:ascii="Aptos" w:hAnsi="Aptos" w:cs="Arial"/>
          <w:color w:val="000000" w:themeColor="text1"/>
          <w:sz w:val="22"/>
          <w:szCs w:val="22"/>
        </w:rPr>
        <w:t>ma stać</w:t>
      </w:r>
      <w:r w:rsidR="00785644" w:rsidRPr="00B53EF1">
        <w:rPr>
          <w:rFonts w:ascii="Aptos" w:hAnsi="Aptos" w:cs="Arial"/>
          <w:color w:val="000000" w:themeColor="text1"/>
          <w:sz w:val="22"/>
          <w:szCs w:val="22"/>
        </w:rPr>
        <w:t xml:space="preserve"> </w:t>
      </w:r>
      <w:r w:rsidR="00B53EF1">
        <w:rPr>
          <w:rFonts w:ascii="Aptos" w:hAnsi="Aptos" w:cs="Arial"/>
          <w:color w:val="000000" w:themeColor="text1"/>
          <w:sz w:val="22"/>
          <w:szCs w:val="22"/>
        </w:rPr>
        <w:t xml:space="preserve">się </w:t>
      </w:r>
      <w:r w:rsidR="00785644" w:rsidRPr="00B53EF1">
        <w:rPr>
          <w:rFonts w:ascii="Aptos" w:hAnsi="Aptos" w:cs="Arial"/>
          <w:color w:val="000000" w:themeColor="text1"/>
          <w:sz w:val="22"/>
          <w:szCs w:val="22"/>
        </w:rPr>
        <w:t>pierwszym kontynentem korzystającym</w:t>
      </w:r>
      <w:r w:rsidRPr="00B53EF1">
        <w:rPr>
          <w:rFonts w:ascii="Aptos" w:hAnsi="Aptos" w:cs="Arial"/>
          <w:color w:val="000000" w:themeColor="text1"/>
          <w:sz w:val="22"/>
          <w:szCs w:val="22"/>
        </w:rPr>
        <w:t xml:space="preserve"> przede wszystkim</w:t>
      </w:r>
      <w:r w:rsidR="00785644" w:rsidRPr="00B53EF1">
        <w:rPr>
          <w:rFonts w:ascii="Aptos" w:hAnsi="Aptos" w:cs="Arial"/>
          <w:color w:val="000000" w:themeColor="text1"/>
          <w:sz w:val="22"/>
          <w:szCs w:val="22"/>
        </w:rPr>
        <w:t xml:space="preserve"> z energii elektrycznej</w:t>
      </w:r>
      <w:r w:rsidRPr="00B53EF1">
        <w:rPr>
          <w:rFonts w:ascii="Aptos" w:hAnsi="Aptos" w:cs="Arial"/>
          <w:color w:val="000000" w:themeColor="text1"/>
          <w:sz w:val="22"/>
          <w:szCs w:val="22"/>
        </w:rPr>
        <w:t xml:space="preserve">. Dokument </w:t>
      </w:r>
      <w:r w:rsidR="00B53EF1">
        <w:rPr>
          <w:rFonts w:ascii="Aptos" w:hAnsi="Aptos" w:cs="Arial"/>
          <w:color w:val="000000" w:themeColor="text1"/>
          <w:sz w:val="22"/>
          <w:szCs w:val="22"/>
        </w:rPr>
        <w:t xml:space="preserve">to </w:t>
      </w:r>
      <w:r w:rsidRPr="00B53EF1">
        <w:rPr>
          <w:rFonts w:ascii="Aptos" w:hAnsi="Aptos" w:cs="Arial"/>
          <w:color w:val="000000" w:themeColor="text1"/>
          <w:sz w:val="22"/>
          <w:szCs w:val="22"/>
        </w:rPr>
        <w:t xml:space="preserve">odpowiedź </w:t>
      </w:r>
      <w:r w:rsidR="00B53EF1">
        <w:rPr>
          <w:rFonts w:ascii="Aptos" w:hAnsi="Aptos" w:cs="Arial"/>
          <w:color w:val="000000" w:themeColor="text1"/>
          <w:sz w:val="22"/>
          <w:szCs w:val="22"/>
        </w:rPr>
        <w:t xml:space="preserve">KE </w:t>
      </w:r>
      <w:r w:rsidRPr="00B53EF1">
        <w:rPr>
          <w:rFonts w:ascii="Aptos" w:hAnsi="Aptos" w:cs="Arial"/>
          <w:color w:val="000000" w:themeColor="text1"/>
          <w:sz w:val="22"/>
          <w:szCs w:val="22"/>
        </w:rPr>
        <w:t>na negatywne skutki importu paliw kopalnych i nar</w:t>
      </w:r>
      <w:r w:rsidR="00895E2C" w:rsidRPr="00B53EF1">
        <w:rPr>
          <w:rFonts w:ascii="Aptos" w:hAnsi="Aptos" w:cs="Arial"/>
          <w:color w:val="000000" w:themeColor="text1"/>
          <w:sz w:val="22"/>
          <w:szCs w:val="22"/>
        </w:rPr>
        <w:t>a</w:t>
      </w:r>
      <w:r w:rsidRPr="00B53EF1">
        <w:rPr>
          <w:rFonts w:ascii="Aptos" w:hAnsi="Aptos" w:cs="Arial"/>
          <w:color w:val="000000" w:themeColor="text1"/>
          <w:sz w:val="22"/>
          <w:szCs w:val="22"/>
        </w:rPr>
        <w:t xml:space="preserve">żanie </w:t>
      </w:r>
      <w:r w:rsidR="00B53EF1">
        <w:rPr>
          <w:rFonts w:ascii="Aptos" w:hAnsi="Aptos" w:cs="Arial"/>
          <w:color w:val="000000" w:themeColor="text1"/>
          <w:sz w:val="22"/>
          <w:szCs w:val="22"/>
        </w:rPr>
        <w:t>Unii</w:t>
      </w:r>
      <w:r w:rsidRPr="00B53EF1">
        <w:rPr>
          <w:rFonts w:ascii="Aptos" w:hAnsi="Aptos" w:cs="Arial"/>
          <w:color w:val="000000" w:themeColor="text1"/>
          <w:sz w:val="22"/>
          <w:szCs w:val="22"/>
        </w:rPr>
        <w:t xml:space="preserve"> na kryzysy geopolityczne. </w:t>
      </w:r>
      <w:r w:rsidR="00895E2C" w:rsidRPr="00B53EF1">
        <w:rPr>
          <w:rFonts w:ascii="Aptos" w:hAnsi="Aptos"/>
          <w:color w:val="000000" w:themeColor="text1"/>
          <w:sz w:val="22"/>
          <w:szCs w:val="22"/>
        </w:rPr>
        <w:t xml:space="preserve">Ostatnie </w:t>
      </w:r>
      <w:r w:rsidR="00B53EF1">
        <w:rPr>
          <w:rFonts w:ascii="Aptos" w:hAnsi="Aptos"/>
          <w:color w:val="000000" w:themeColor="text1"/>
          <w:sz w:val="22"/>
          <w:szCs w:val="22"/>
        </w:rPr>
        <w:t>wydarzenia</w:t>
      </w:r>
      <w:r w:rsidR="00895E2C" w:rsidRPr="00B53EF1">
        <w:rPr>
          <w:rFonts w:ascii="Aptos" w:hAnsi="Aptos"/>
          <w:color w:val="000000" w:themeColor="text1"/>
          <w:sz w:val="22"/>
          <w:szCs w:val="22"/>
        </w:rPr>
        <w:t>, w szczególności wojna z Iranem i blokada Cieśniny Ormuz</w:t>
      </w:r>
      <w:r w:rsidR="00D75A76">
        <w:rPr>
          <w:rFonts w:ascii="Aptos" w:hAnsi="Aptos"/>
          <w:color w:val="000000" w:themeColor="text1"/>
          <w:sz w:val="22"/>
          <w:szCs w:val="22"/>
        </w:rPr>
        <w:t>,</w:t>
      </w:r>
      <w:r w:rsidR="00895E2C" w:rsidRPr="00B53EF1">
        <w:rPr>
          <w:rFonts w:ascii="Aptos" w:hAnsi="Aptos"/>
          <w:color w:val="000000" w:themeColor="text1"/>
          <w:sz w:val="22"/>
          <w:szCs w:val="22"/>
        </w:rPr>
        <w:t xml:space="preserve"> pokazały, że wzrost cen ropy i gazu przekłada się bezpośrednio na inflację, koszty działalności przedsiębiorstw oraz finanse publiczne państw członkowskich. </w:t>
      </w:r>
      <w:r w:rsidRPr="00B53EF1">
        <w:rPr>
          <w:rFonts w:ascii="Aptos" w:hAnsi="Aptos" w:cs="Arial"/>
          <w:color w:val="000000" w:themeColor="text1"/>
          <w:sz w:val="22"/>
          <w:szCs w:val="22"/>
        </w:rPr>
        <w:t xml:space="preserve">Plan wyznacza </w:t>
      </w:r>
      <w:r w:rsidR="00785644" w:rsidRPr="00B53EF1">
        <w:rPr>
          <w:rFonts w:ascii="Aptos" w:hAnsi="Aptos" w:cs="Arial"/>
          <w:color w:val="000000" w:themeColor="text1"/>
          <w:sz w:val="22"/>
          <w:szCs w:val="22"/>
        </w:rPr>
        <w:t xml:space="preserve">cel elektryfikacji na poziomie 46% do 2040 r. </w:t>
      </w:r>
      <w:r w:rsidRPr="00B53EF1">
        <w:rPr>
          <w:rFonts w:ascii="Aptos" w:hAnsi="Aptos" w:cs="Arial"/>
          <w:color w:val="000000" w:themeColor="text1"/>
          <w:sz w:val="22"/>
          <w:szCs w:val="22"/>
        </w:rPr>
        <w:t>Według Komisji, jego osiągnięcie</w:t>
      </w:r>
      <w:r w:rsidR="00785644" w:rsidRPr="00B53EF1">
        <w:rPr>
          <w:rFonts w:ascii="Aptos" w:hAnsi="Aptos" w:cs="Arial"/>
          <w:color w:val="000000" w:themeColor="text1"/>
          <w:sz w:val="22"/>
          <w:szCs w:val="22"/>
        </w:rPr>
        <w:t> </w:t>
      </w:r>
      <w:r w:rsidR="00785644" w:rsidRPr="00B53EF1">
        <w:rPr>
          <w:rStyle w:val="Pogrubienie"/>
          <w:rFonts w:ascii="Aptos" w:hAnsi="Aptos" w:cs="Arial"/>
          <w:b w:val="0"/>
          <w:bCs w:val="0"/>
          <w:color w:val="000000" w:themeColor="text1"/>
          <w:sz w:val="22"/>
          <w:szCs w:val="22"/>
        </w:rPr>
        <w:t>obniży</w:t>
      </w:r>
      <w:r w:rsidRPr="00B53EF1">
        <w:rPr>
          <w:rStyle w:val="Pogrubienie"/>
          <w:rFonts w:ascii="Aptos" w:hAnsi="Aptos" w:cs="Arial"/>
          <w:b w:val="0"/>
          <w:bCs w:val="0"/>
          <w:color w:val="000000" w:themeColor="text1"/>
          <w:sz w:val="22"/>
          <w:szCs w:val="22"/>
        </w:rPr>
        <w:t xml:space="preserve"> </w:t>
      </w:r>
      <w:r w:rsidR="00785644" w:rsidRPr="00B53EF1">
        <w:rPr>
          <w:rStyle w:val="Pogrubienie"/>
          <w:rFonts w:ascii="Aptos" w:hAnsi="Aptos" w:cs="Arial"/>
          <w:b w:val="0"/>
          <w:bCs w:val="0"/>
          <w:color w:val="000000" w:themeColor="text1"/>
          <w:sz w:val="22"/>
          <w:szCs w:val="22"/>
        </w:rPr>
        <w:t>unijne wydatki na import paliw kopalnych o 260 mld euro</w:t>
      </w:r>
      <w:r w:rsidR="00785644" w:rsidRPr="00B53EF1">
        <w:rPr>
          <w:rFonts w:ascii="Aptos" w:hAnsi="Aptos" w:cs="Arial"/>
          <w:color w:val="000000" w:themeColor="text1"/>
          <w:sz w:val="22"/>
          <w:szCs w:val="22"/>
        </w:rPr>
        <w:t> rocznie</w:t>
      </w:r>
      <w:r w:rsidRPr="00B53EF1">
        <w:rPr>
          <w:rFonts w:ascii="Aptos" w:hAnsi="Aptos" w:cs="Arial"/>
          <w:color w:val="000000" w:themeColor="text1"/>
          <w:sz w:val="22"/>
          <w:szCs w:val="22"/>
        </w:rPr>
        <w:t xml:space="preserve">. </w:t>
      </w:r>
    </w:p>
    <w:p w14:paraId="638241CA" w14:textId="77777777" w:rsidR="00623CFE" w:rsidRPr="00B53EF1" w:rsidRDefault="00623CFE" w:rsidP="00895E2C">
      <w:pPr>
        <w:jc w:val="both"/>
        <w:rPr>
          <w:rFonts w:ascii="Aptos" w:hAnsi="Aptos" w:cs="Arial"/>
          <w:color w:val="000000" w:themeColor="text1"/>
          <w:sz w:val="22"/>
          <w:szCs w:val="22"/>
        </w:rPr>
      </w:pPr>
    </w:p>
    <w:p w14:paraId="3D3E1A67" w14:textId="0DE3C0FE" w:rsidR="00895E2C" w:rsidRPr="00B53EF1" w:rsidRDefault="00895E2C" w:rsidP="00895E2C">
      <w:pPr>
        <w:jc w:val="both"/>
        <w:rPr>
          <w:rFonts w:ascii="Aptos" w:hAnsi="Aptos" w:cs="Arial"/>
          <w:color w:val="000000" w:themeColor="text1"/>
          <w:sz w:val="22"/>
          <w:szCs w:val="22"/>
        </w:rPr>
      </w:pPr>
      <w:r w:rsidRPr="00B53EF1">
        <w:rPr>
          <w:rFonts w:ascii="Aptos" w:hAnsi="Aptos" w:cs="Arial"/>
          <w:color w:val="000000" w:themeColor="text1"/>
          <w:sz w:val="22"/>
          <w:szCs w:val="22"/>
        </w:rPr>
        <w:t xml:space="preserve">- </w:t>
      </w:r>
      <w:r w:rsidRPr="00B53EF1">
        <w:rPr>
          <w:rFonts w:ascii="Aptos" w:hAnsi="Aptos" w:cs="Arial"/>
          <w:i/>
          <w:iCs/>
          <w:color w:val="000000" w:themeColor="text1"/>
          <w:sz w:val="22"/>
          <w:szCs w:val="22"/>
        </w:rPr>
        <w:t xml:space="preserve">Publikacja </w:t>
      </w:r>
      <w:proofErr w:type="spellStart"/>
      <w:r w:rsidRPr="00B53EF1">
        <w:rPr>
          <w:rFonts w:ascii="Aptos" w:hAnsi="Aptos" w:cs="Arial"/>
          <w:i/>
          <w:iCs/>
          <w:color w:val="000000" w:themeColor="text1"/>
          <w:sz w:val="22"/>
          <w:szCs w:val="22"/>
        </w:rPr>
        <w:t>European</w:t>
      </w:r>
      <w:proofErr w:type="spellEnd"/>
      <w:r w:rsidRPr="00B53EF1">
        <w:rPr>
          <w:rFonts w:ascii="Aptos" w:hAnsi="Aptos" w:cs="Arial"/>
          <w:i/>
          <w:iCs/>
          <w:color w:val="000000" w:themeColor="text1"/>
          <w:sz w:val="22"/>
          <w:szCs w:val="22"/>
        </w:rPr>
        <w:t xml:space="preserve"> </w:t>
      </w:r>
      <w:proofErr w:type="spellStart"/>
      <w:r w:rsidRPr="00B53EF1">
        <w:rPr>
          <w:rFonts w:ascii="Aptos" w:hAnsi="Aptos" w:cs="Arial"/>
          <w:i/>
          <w:iCs/>
          <w:color w:val="000000" w:themeColor="text1"/>
          <w:sz w:val="22"/>
          <w:szCs w:val="22"/>
        </w:rPr>
        <w:t>Electrification</w:t>
      </w:r>
      <w:proofErr w:type="spellEnd"/>
      <w:r w:rsidRPr="00B53EF1">
        <w:rPr>
          <w:rFonts w:ascii="Aptos" w:hAnsi="Aptos" w:cs="Arial"/>
          <w:i/>
          <w:iCs/>
          <w:color w:val="000000" w:themeColor="text1"/>
          <w:sz w:val="22"/>
          <w:szCs w:val="22"/>
        </w:rPr>
        <w:t xml:space="preserve"> Action Plan stanowi jeden z najważniejszych sygnałów politycznych wysłanych przez Komisję Europejską w ostatnich latach. Dokument potwierdza, że elektryfikacja nie jest już wyłącznie elementem polityki klimatycznej, ale staje się fundamentem bezpieczeństwa energetycznego, konkurencyjności przemysłu oraz odporności gospodarczej Europy. Komisja jednoznacznie wskazuje, że ograniczenie zależności od importowanych paliw kopalnych wymaga przyspieszenia elektryfikacji transportu, budynków i przemysłu</w:t>
      </w:r>
      <w:r w:rsidRPr="00B53EF1">
        <w:rPr>
          <w:rFonts w:ascii="Aptos" w:hAnsi="Aptos" w:cs="Arial"/>
          <w:color w:val="000000" w:themeColor="text1"/>
          <w:sz w:val="22"/>
          <w:szCs w:val="22"/>
        </w:rPr>
        <w:t xml:space="preserve"> – mówi </w:t>
      </w:r>
      <w:r w:rsidRPr="00B53EF1">
        <w:rPr>
          <w:rFonts w:ascii="Aptos" w:hAnsi="Aptos" w:cs="Arial"/>
          <w:b/>
          <w:bCs/>
          <w:color w:val="000000" w:themeColor="text1"/>
          <w:sz w:val="22"/>
          <w:szCs w:val="22"/>
        </w:rPr>
        <w:t>Aleksander Rajch</w:t>
      </w:r>
      <w:r w:rsidRPr="00B53EF1">
        <w:rPr>
          <w:rFonts w:ascii="Aptos" w:hAnsi="Aptos" w:cs="Arial"/>
          <w:color w:val="000000" w:themeColor="text1"/>
          <w:sz w:val="22"/>
          <w:szCs w:val="22"/>
        </w:rPr>
        <w:t xml:space="preserve">, członek zarządu PSNM. </w:t>
      </w:r>
    </w:p>
    <w:p w14:paraId="533F25A7" w14:textId="77777777" w:rsidR="00C636D1" w:rsidRPr="00B53EF1" w:rsidRDefault="00C636D1" w:rsidP="00895E2C">
      <w:pPr>
        <w:jc w:val="both"/>
        <w:rPr>
          <w:rFonts w:ascii="Aptos" w:hAnsi="Aptos" w:cs="Arial"/>
          <w:color w:val="000000" w:themeColor="text1"/>
          <w:sz w:val="22"/>
          <w:szCs w:val="22"/>
        </w:rPr>
      </w:pPr>
    </w:p>
    <w:p w14:paraId="0817F312" w14:textId="1A97D829" w:rsidR="00C636D1" w:rsidRPr="00B53EF1" w:rsidRDefault="00C636D1" w:rsidP="00C636D1">
      <w:pPr>
        <w:jc w:val="both"/>
        <w:rPr>
          <w:rFonts w:ascii="Aptos" w:hAnsi="Aptos"/>
          <w:color w:val="000000" w:themeColor="text1"/>
          <w:sz w:val="22"/>
          <w:szCs w:val="22"/>
        </w:rPr>
      </w:pPr>
      <w:r w:rsidRPr="00B53EF1">
        <w:rPr>
          <w:rFonts w:ascii="Aptos" w:hAnsi="Aptos"/>
          <w:color w:val="000000" w:themeColor="text1"/>
          <w:sz w:val="22"/>
          <w:szCs w:val="22"/>
        </w:rPr>
        <w:t xml:space="preserve">Przemysł odpowiada obecnie za około jedną czwartą zużycia energii w UE, a jednocześnie posiada ogromny potencjał dalszej elektryfikacji. Na podstawie szacunków, 60% obecnego zużycia paliw w przemyśle można zastąpić energią elektryczną przy wykorzystaniu dostępnych technologii. Komisja wskazuje, że elektryfikacja powinna objąć w szczególności takie sektory jak przemysł spożywczy, papierniczy, tekstylny, materiałów budowlanych, chemiczny i hutniczy. </w:t>
      </w:r>
    </w:p>
    <w:p w14:paraId="2D088C72" w14:textId="77777777" w:rsidR="00623CFE" w:rsidRPr="00B53EF1" w:rsidRDefault="00623CFE" w:rsidP="00895E2C">
      <w:pPr>
        <w:jc w:val="both"/>
        <w:rPr>
          <w:rFonts w:ascii="Aptos" w:hAnsi="Aptos" w:cs="Arial"/>
          <w:color w:val="000000" w:themeColor="text1"/>
          <w:sz w:val="22"/>
          <w:szCs w:val="22"/>
        </w:rPr>
      </w:pPr>
    </w:p>
    <w:p w14:paraId="6ABC7A06" w14:textId="2F60EE79" w:rsidR="00895E2C" w:rsidRPr="00B53EF1" w:rsidRDefault="00895E2C" w:rsidP="00895E2C">
      <w:pPr>
        <w:jc w:val="both"/>
        <w:rPr>
          <w:rFonts w:ascii="Aptos" w:hAnsi="Aptos"/>
          <w:color w:val="000000" w:themeColor="text1"/>
          <w:sz w:val="22"/>
          <w:szCs w:val="22"/>
        </w:rPr>
      </w:pPr>
      <w:r w:rsidRPr="00B53EF1">
        <w:rPr>
          <w:rFonts w:ascii="Aptos" w:hAnsi="Aptos"/>
          <w:color w:val="000000" w:themeColor="text1"/>
          <w:sz w:val="22"/>
          <w:szCs w:val="22"/>
        </w:rPr>
        <w:t xml:space="preserve">Realizacja Planu </w:t>
      </w:r>
      <w:r w:rsidR="00B53EF1">
        <w:rPr>
          <w:rFonts w:ascii="Aptos" w:hAnsi="Aptos"/>
          <w:color w:val="000000" w:themeColor="text1"/>
          <w:sz w:val="22"/>
          <w:szCs w:val="22"/>
        </w:rPr>
        <w:t>doprowadzi</w:t>
      </w:r>
      <w:r w:rsidRPr="00B53EF1">
        <w:rPr>
          <w:rFonts w:ascii="Aptos" w:hAnsi="Aptos"/>
          <w:color w:val="000000" w:themeColor="text1"/>
          <w:sz w:val="22"/>
          <w:szCs w:val="22"/>
        </w:rPr>
        <w:t xml:space="preserve"> do znaczącego ograniczenia zużycia gazu i ropy, zmniejszenia kosztów importu energii oraz wzrostu konkurencyjności europejskich przedsiębiorstw. Szczegółowe</w:t>
      </w:r>
      <w:r w:rsidR="00B53EF1">
        <w:rPr>
          <w:rFonts w:ascii="Aptos" w:hAnsi="Aptos"/>
          <w:color w:val="000000" w:themeColor="text1"/>
          <w:sz w:val="22"/>
          <w:szCs w:val="22"/>
        </w:rPr>
        <w:t>,</w:t>
      </w:r>
      <w:r w:rsidRPr="00B53EF1">
        <w:rPr>
          <w:rFonts w:ascii="Aptos" w:hAnsi="Aptos"/>
          <w:color w:val="000000" w:themeColor="text1"/>
          <w:sz w:val="22"/>
          <w:szCs w:val="22"/>
        </w:rPr>
        <w:t xml:space="preserve"> ujęte w planie działania obejmują m.in. obniżenie kosztów energii elektrycznej. Komisja rekomenduje w tym zakresie reformę opłat i podatków zawartych w rachunkach za energię, stopniowe wycofywanie subsydiów dla paliw kopalnych, zmianę konstrukcji taryf sieciowych oraz większe premiowanie odbiorców korzystających z elastycznego zużycia energii. W efekcie energia elektryczna stanie się znacznie bardziej konkurencyjna wobec paliw kopalnych z perspektywy zarówno przedsiębiorców, jak i gospodarstw domowych.</w:t>
      </w:r>
    </w:p>
    <w:p w14:paraId="288B93B0" w14:textId="5BA21697" w:rsidR="00895E2C" w:rsidRPr="00B53EF1" w:rsidRDefault="00895E2C" w:rsidP="00895E2C">
      <w:pPr>
        <w:jc w:val="both"/>
        <w:rPr>
          <w:rFonts w:ascii="Aptos" w:hAnsi="Aptos"/>
          <w:color w:val="000000" w:themeColor="text1"/>
          <w:sz w:val="22"/>
          <w:szCs w:val="22"/>
        </w:rPr>
      </w:pPr>
    </w:p>
    <w:p w14:paraId="34727818" w14:textId="18748DA7" w:rsidR="004D46BA" w:rsidRPr="00B53EF1" w:rsidRDefault="00895E2C" w:rsidP="004D46BA">
      <w:pPr>
        <w:jc w:val="both"/>
        <w:rPr>
          <w:rFonts w:ascii="Aptos" w:hAnsi="Aptos"/>
          <w:color w:val="000000" w:themeColor="text1"/>
          <w:sz w:val="22"/>
          <w:szCs w:val="22"/>
        </w:rPr>
      </w:pPr>
      <w:r w:rsidRPr="00B53EF1">
        <w:rPr>
          <w:rFonts w:ascii="Aptos" w:hAnsi="Aptos" w:cs="Arial"/>
          <w:color w:val="000000" w:themeColor="text1"/>
          <w:sz w:val="22"/>
          <w:szCs w:val="22"/>
        </w:rPr>
        <w:lastRenderedPageBreak/>
        <w:t xml:space="preserve">Jednym z kluczowych obszarów elektryfikacji w Planie jest sektor transportu. </w:t>
      </w:r>
      <w:r w:rsidR="004D46BA" w:rsidRPr="00B53EF1">
        <w:rPr>
          <w:rFonts w:ascii="Aptos" w:hAnsi="Aptos"/>
          <w:color w:val="000000" w:themeColor="text1"/>
          <w:sz w:val="22"/>
          <w:szCs w:val="22"/>
        </w:rPr>
        <w:t xml:space="preserve">Komisja podkreśla, że przejście z pojazdów spalinowych na elektryczne jest jednym z najważniejszych sposobów zmniejszenia zależności energetycznej UE i ograniczenia importu ropy naftowej. </w:t>
      </w:r>
    </w:p>
    <w:p w14:paraId="31E4C101" w14:textId="26760397" w:rsidR="00D77E48" w:rsidRPr="00B53EF1" w:rsidRDefault="00D77E48" w:rsidP="004D46BA">
      <w:pPr>
        <w:jc w:val="both"/>
        <w:rPr>
          <w:rFonts w:ascii="Aptos" w:hAnsi="Aptos" w:cs="Arial"/>
          <w:color w:val="000000" w:themeColor="text1"/>
          <w:sz w:val="22"/>
          <w:szCs w:val="22"/>
        </w:rPr>
      </w:pPr>
    </w:p>
    <w:p w14:paraId="57BB9118" w14:textId="725FA5AD" w:rsidR="00D77E48" w:rsidRPr="00B53EF1" w:rsidRDefault="00D77E48" w:rsidP="004D46BA">
      <w:pPr>
        <w:jc w:val="both"/>
        <w:rPr>
          <w:rFonts w:ascii="Aptos" w:hAnsi="Aptos"/>
          <w:color w:val="000000" w:themeColor="text1"/>
          <w:sz w:val="22"/>
          <w:szCs w:val="22"/>
        </w:rPr>
      </w:pPr>
      <w:r w:rsidRPr="00B53EF1">
        <w:rPr>
          <w:rFonts w:ascii="Aptos" w:hAnsi="Aptos"/>
          <w:color w:val="000000" w:themeColor="text1"/>
          <w:sz w:val="22"/>
          <w:szCs w:val="22"/>
        </w:rPr>
        <w:t xml:space="preserve">- </w:t>
      </w:r>
      <w:proofErr w:type="spellStart"/>
      <w:r w:rsidRPr="00B53EF1">
        <w:rPr>
          <w:rFonts w:ascii="Aptos" w:hAnsi="Aptos"/>
          <w:i/>
          <w:iCs/>
          <w:color w:val="000000" w:themeColor="text1"/>
          <w:sz w:val="22"/>
          <w:szCs w:val="22"/>
        </w:rPr>
        <w:t>Electrification</w:t>
      </w:r>
      <w:proofErr w:type="spellEnd"/>
      <w:r w:rsidRPr="00B53EF1">
        <w:rPr>
          <w:rFonts w:ascii="Aptos" w:hAnsi="Aptos"/>
          <w:i/>
          <w:iCs/>
          <w:color w:val="000000" w:themeColor="text1"/>
          <w:sz w:val="22"/>
          <w:szCs w:val="22"/>
        </w:rPr>
        <w:t xml:space="preserve"> Action Plan uznaje </w:t>
      </w:r>
      <w:proofErr w:type="spellStart"/>
      <w:r w:rsidRPr="00B53EF1">
        <w:rPr>
          <w:rFonts w:ascii="Aptos" w:hAnsi="Aptos"/>
          <w:i/>
          <w:iCs/>
          <w:color w:val="000000" w:themeColor="text1"/>
          <w:sz w:val="22"/>
          <w:szCs w:val="22"/>
        </w:rPr>
        <w:t>elektromobilność</w:t>
      </w:r>
      <w:proofErr w:type="spellEnd"/>
      <w:r w:rsidRPr="00B53EF1">
        <w:rPr>
          <w:rFonts w:ascii="Aptos" w:hAnsi="Aptos"/>
          <w:i/>
          <w:iCs/>
          <w:color w:val="000000" w:themeColor="text1"/>
          <w:sz w:val="22"/>
          <w:szCs w:val="22"/>
        </w:rPr>
        <w:t xml:space="preserve"> za integralny element systemu energetycznego. Komisja odchodzi od postrzegania pojazdów elektrycznych wyłącznie jako środka transportu i podkreśla ich rolę jako mobilnych magazynów energii, zdolnych do świadczenia usług elastyczności poprzez inteligentne ładowanie i technologie </w:t>
      </w:r>
      <w:proofErr w:type="spellStart"/>
      <w:r w:rsidRPr="00B53EF1">
        <w:rPr>
          <w:rFonts w:ascii="Aptos" w:hAnsi="Aptos"/>
          <w:i/>
          <w:iCs/>
          <w:color w:val="000000" w:themeColor="text1"/>
          <w:sz w:val="22"/>
          <w:szCs w:val="22"/>
        </w:rPr>
        <w:t>Vehicle</w:t>
      </w:r>
      <w:proofErr w:type="spellEnd"/>
      <w:r w:rsidRPr="00B53EF1">
        <w:rPr>
          <w:rFonts w:ascii="Aptos" w:hAnsi="Aptos"/>
          <w:i/>
          <w:iCs/>
          <w:color w:val="000000" w:themeColor="text1"/>
          <w:sz w:val="22"/>
          <w:szCs w:val="22"/>
        </w:rPr>
        <w:t>-to-</w:t>
      </w:r>
      <w:proofErr w:type="spellStart"/>
      <w:r w:rsidRPr="00B53EF1">
        <w:rPr>
          <w:rFonts w:ascii="Aptos" w:hAnsi="Aptos"/>
          <w:i/>
          <w:iCs/>
          <w:color w:val="000000" w:themeColor="text1"/>
          <w:sz w:val="22"/>
          <w:szCs w:val="22"/>
        </w:rPr>
        <w:t>Grid</w:t>
      </w:r>
      <w:proofErr w:type="spellEnd"/>
      <w:r w:rsidRPr="00B53EF1">
        <w:rPr>
          <w:rFonts w:ascii="Aptos" w:hAnsi="Aptos"/>
          <w:i/>
          <w:iCs/>
          <w:color w:val="000000" w:themeColor="text1"/>
          <w:sz w:val="22"/>
          <w:szCs w:val="22"/>
        </w:rPr>
        <w:t xml:space="preserve">. To kierunek, który przyniesie korzyści zarówno użytkownikom pojazdów, jak i operatorom systemu elektroenergetycznego. Jednocześnie przyspieszy integrację odnawialnych źródeł energii i zwiększy ich rolę w krajowym </w:t>
      </w:r>
      <w:proofErr w:type="spellStart"/>
      <w:r w:rsidRPr="00B53EF1">
        <w:rPr>
          <w:rFonts w:ascii="Aptos" w:hAnsi="Aptos"/>
          <w:i/>
          <w:iCs/>
          <w:color w:val="000000" w:themeColor="text1"/>
          <w:sz w:val="22"/>
          <w:szCs w:val="22"/>
        </w:rPr>
        <w:t>miksie</w:t>
      </w:r>
      <w:proofErr w:type="spellEnd"/>
      <w:r w:rsidRPr="00B53EF1">
        <w:rPr>
          <w:rFonts w:ascii="Aptos" w:hAnsi="Aptos"/>
          <w:i/>
          <w:iCs/>
          <w:color w:val="000000" w:themeColor="text1"/>
          <w:sz w:val="22"/>
          <w:szCs w:val="22"/>
        </w:rPr>
        <w:t xml:space="preserve"> </w:t>
      </w:r>
      <w:r w:rsidRPr="00B53EF1">
        <w:rPr>
          <w:rFonts w:ascii="Aptos" w:hAnsi="Aptos"/>
          <w:color w:val="000000" w:themeColor="text1"/>
          <w:sz w:val="22"/>
          <w:szCs w:val="22"/>
        </w:rPr>
        <w:t xml:space="preserve">– mówi </w:t>
      </w:r>
      <w:r w:rsidRPr="00B53EF1">
        <w:rPr>
          <w:rFonts w:ascii="Aptos" w:hAnsi="Aptos"/>
          <w:b/>
          <w:bCs/>
          <w:color w:val="000000" w:themeColor="text1"/>
          <w:sz w:val="22"/>
          <w:szCs w:val="22"/>
        </w:rPr>
        <w:t>Aleksander Rajch</w:t>
      </w:r>
      <w:r w:rsidRPr="00B53EF1">
        <w:rPr>
          <w:rFonts w:ascii="Aptos" w:hAnsi="Aptos"/>
          <w:color w:val="000000" w:themeColor="text1"/>
          <w:sz w:val="22"/>
          <w:szCs w:val="22"/>
        </w:rPr>
        <w:t xml:space="preserve">, członek zarządu PSNM. </w:t>
      </w:r>
    </w:p>
    <w:p w14:paraId="6BF17988" w14:textId="77777777" w:rsidR="00D77E48" w:rsidRPr="00B53EF1" w:rsidRDefault="00D77E48" w:rsidP="00895E2C">
      <w:pPr>
        <w:rPr>
          <w:rFonts w:ascii="Aptos" w:hAnsi="Aptos" w:cs="Arial"/>
          <w:color w:val="000000" w:themeColor="text1"/>
          <w:sz w:val="22"/>
          <w:szCs w:val="22"/>
        </w:rPr>
      </w:pPr>
    </w:p>
    <w:p w14:paraId="389490A0" w14:textId="3A119A36" w:rsidR="00D77E48" w:rsidRPr="00B53EF1" w:rsidRDefault="00C636D1" w:rsidP="00895E2C">
      <w:pPr>
        <w:rPr>
          <w:rFonts w:ascii="Aptos" w:hAnsi="Aptos"/>
          <w:color w:val="000000" w:themeColor="text1"/>
          <w:sz w:val="22"/>
          <w:szCs w:val="22"/>
        </w:rPr>
      </w:pPr>
      <w:r w:rsidRPr="00B53EF1">
        <w:rPr>
          <w:rFonts w:ascii="Aptos" w:hAnsi="Aptos"/>
          <w:color w:val="000000" w:themeColor="text1"/>
          <w:sz w:val="22"/>
          <w:szCs w:val="22"/>
        </w:rPr>
        <w:t>Według analiz Komisji, do 2040 r. inteligentne ładowanie i usługi V2G mogą generować ponad 44 mld EUR oszczędności rocznie dla użytkowników pojazdów elektrycznych. Ponadto ograniczą skalę inwestycji w sieci energetyczne. Do połowy 2027 r. Komisja oceni obecny stan wdrożenia technologii V2G na obszarze UE i zaproponuje sposób wprowadzenie inteligentnego ładowania jako standardowej opcji w umowach sprzedaży energii dla użytkowników pojazdów elektrycznych. Kolejnym etapem, realizowanym do końca 2027 r. będzie wprowadzenie wymogu integracji nowych pojazdów elektrycznych z technologią V2G, umożliwiającą dwukierunkowy przepływ energii z siecią energetyczną.</w:t>
      </w:r>
    </w:p>
    <w:p w14:paraId="60E2A7D7" w14:textId="77777777" w:rsidR="00CC0F45" w:rsidRPr="00B53EF1" w:rsidRDefault="00CC0F45" w:rsidP="00895E2C">
      <w:pPr>
        <w:rPr>
          <w:rFonts w:ascii="Aptos" w:hAnsi="Aptos"/>
          <w:color w:val="000000" w:themeColor="text1"/>
          <w:sz w:val="22"/>
          <w:szCs w:val="22"/>
        </w:rPr>
      </w:pPr>
    </w:p>
    <w:p w14:paraId="691CE067" w14:textId="3524C901" w:rsidR="00CC0F45" w:rsidRPr="00B53EF1" w:rsidRDefault="00CC0F45" w:rsidP="00CC0F45">
      <w:pPr>
        <w:jc w:val="both"/>
        <w:rPr>
          <w:rFonts w:ascii="Aptos" w:hAnsi="Aptos"/>
          <w:color w:val="000000" w:themeColor="text1"/>
          <w:sz w:val="22"/>
          <w:szCs w:val="22"/>
        </w:rPr>
      </w:pPr>
      <w:r w:rsidRPr="00B53EF1">
        <w:rPr>
          <w:rFonts w:ascii="Aptos" w:hAnsi="Aptos"/>
          <w:color w:val="000000" w:themeColor="text1"/>
          <w:sz w:val="22"/>
          <w:szCs w:val="22"/>
        </w:rPr>
        <w:t xml:space="preserve">Komisja wskazuje, że elektryfikację transportu przyspieszą m.in. takie działania jak przegląd Dyrektywy </w:t>
      </w:r>
      <w:proofErr w:type="spellStart"/>
      <w:r w:rsidRPr="00B53EF1">
        <w:rPr>
          <w:rFonts w:ascii="Aptos" w:hAnsi="Aptos"/>
          <w:color w:val="000000" w:themeColor="text1"/>
          <w:sz w:val="22"/>
          <w:szCs w:val="22"/>
        </w:rPr>
        <w:t>Clean</w:t>
      </w:r>
      <w:proofErr w:type="spellEnd"/>
      <w:r w:rsidRPr="00B53EF1">
        <w:rPr>
          <w:rFonts w:ascii="Aptos" w:hAnsi="Aptos"/>
          <w:color w:val="000000" w:themeColor="text1"/>
          <w:sz w:val="22"/>
          <w:szCs w:val="22"/>
        </w:rPr>
        <w:t xml:space="preserve"> </w:t>
      </w:r>
      <w:proofErr w:type="spellStart"/>
      <w:r w:rsidRPr="00B53EF1">
        <w:rPr>
          <w:rFonts w:ascii="Aptos" w:hAnsi="Aptos"/>
          <w:color w:val="000000" w:themeColor="text1"/>
          <w:sz w:val="22"/>
          <w:szCs w:val="22"/>
        </w:rPr>
        <w:t>Vehicles</w:t>
      </w:r>
      <w:proofErr w:type="spellEnd"/>
      <w:r w:rsidRPr="00B53EF1">
        <w:rPr>
          <w:rFonts w:ascii="Aptos" w:hAnsi="Aptos"/>
          <w:color w:val="000000" w:themeColor="text1"/>
          <w:sz w:val="22"/>
          <w:szCs w:val="22"/>
        </w:rPr>
        <w:t xml:space="preserve"> Directive do IV kw. 2027 r. </w:t>
      </w:r>
      <w:r w:rsidR="00B53EF1">
        <w:rPr>
          <w:rFonts w:ascii="Aptos" w:hAnsi="Aptos"/>
          <w:color w:val="000000" w:themeColor="text1"/>
          <w:sz w:val="22"/>
          <w:szCs w:val="22"/>
        </w:rPr>
        <w:t>mający na celu</w:t>
      </w:r>
      <w:r w:rsidRPr="00B53EF1">
        <w:rPr>
          <w:rFonts w:ascii="Aptos" w:hAnsi="Aptos"/>
          <w:color w:val="000000" w:themeColor="text1"/>
          <w:sz w:val="22"/>
          <w:szCs w:val="22"/>
        </w:rPr>
        <w:t xml:space="preserve"> ewentualne zaostrzeni</w:t>
      </w:r>
      <w:r w:rsidR="00B53EF1">
        <w:rPr>
          <w:rFonts w:ascii="Aptos" w:hAnsi="Aptos"/>
          <w:color w:val="000000" w:themeColor="text1"/>
          <w:sz w:val="22"/>
          <w:szCs w:val="22"/>
        </w:rPr>
        <w:t>e</w:t>
      </w:r>
      <w:r w:rsidRPr="00B53EF1">
        <w:rPr>
          <w:rFonts w:ascii="Aptos" w:hAnsi="Aptos"/>
          <w:color w:val="000000" w:themeColor="text1"/>
          <w:sz w:val="22"/>
          <w:szCs w:val="22"/>
        </w:rPr>
        <w:t xml:space="preserve"> wymogów dotyczących udziału pojazdów zeroemisyjnych w zamówieniach publicznych.</w:t>
      </w:r>
      <w:r w:rsidR="00F51C87" w:rsidRPr="00B53EF1">
        <w:rPr>
          <w:rFonts w:ascii="Aptos" w:hAnsi="Aptos"/>
          <w:color w:val="000000" w:themeColor="text1"/>
          <w:sz w:val="22"/>
          <w:szCs w:val="22"/>
        </w:rPr>
        <w:t xml:space="preserve"> Komisja rekomenduje kontynuacje i uruchamianie nowych zachęt – fiskalnych i niefiskalnych – dedykowanych pojazdom elektrycznym</w:t>
      </w:r>
      <w:r w:rsidR="00B53EF1" w:rsidRPr="00B53EF1">
        <w:rPr>
          <w:rFonts w:ascii="Aptos" w:hAnsi="Aptos"/>
          <w:color w:val="000000" w:themeColor="text1"/>
          <w:sz w:val="22"/>
          <w:szCs w:val="22"/>
        </w:rPr>
        <w:t xml:space="preserve">. </w:t>
      </w:r>
      <w:r w:rsidRPr="00B53EF1">
        <w:rPr>
          <w:rFonts w:ascii="Aptos" w:hAnsi="Aptos"/>
          <w:color w:val="000000" w:themeColor="text1"/>
          <w:sz w:val="22"/>
          <w:szCs w:val="22"/>
        </w:rPr>
        <w:t xml:space="preserve">Konieczność przyspieszenia rozbudowy infrastruktury ładowania zostanie zaadresowana w ramach przeglądu rozporządzenia AFIR, który ma nastąpić jeszcze w 2026 r. Aby stymulować rozwój zeroemisyjnego transportu ciężkiego Komisja chce również rozszerzyć inicjatywę e-HDV </w:t>
      </w:r>
      <w:proofErr w:type="spellStart"/>
      <w:r w:rsidRPr="00B53EF1">
        <w:rPr>
          <w:rFonts w:ascii="Aptos" w:hAnsi="Aptos"/>
          <w:color w:val="000000" w:themeColor="text1"/>
          <w:sz w:val="22"/>
          <w:szCs w:val="22"/>
        </w:rPr>
        <w:t>Clean</w:t>
      </w:r>
      <w:proofErr w:type="spellEnd"/>
      <w:r w:rsidRPr="00B53EF1">
        <w:rPr>
          <w:rFonts w:ascii="Aptos" w:hAnsi="Aptos"/>
          <w:color w:val="000000" w:themeColor="text1"/>
          <w:sz w:val="22"/>
          <w:szCs w:val="22"/>
        </w:rPr>
        <w:t xml:space="preserve"> Transport </w:t>
      </w:r>
      <w:proofErr w:type="spellStart"/>
      <w:r w:rsidRPr="00B53EF1">
        <w:rPr>
          <w:rFonts w:ascii="Aptos" w:hAnsi="Aptos"/>
          <w:color w:val="000000" w:themeColor="text1"/>
          <w:sz w:val="22"/>
          <w:szCs w:val="22"/>
        </w:rPr>
        <w:t>Corridors</w:t>
      </w:r>
      <w:proofErr w:type="spellEnd"/>
      <w:r w:rsidRPr="00B53EF1">
        <w:rPr>
          <w:rFonts w:ascii="Aptos" w:hAnsi="Aptos"/>
          <w:color w:val="000000" w:themeColor="text1"/>
          <w:sz w:val="22"/>
          <w:szCs w:val="22"/>
        </w:rPr>
        <w:t xml:space="preserve"> na kolejne korytarze TEN-T. </w:t>
      </w:r>
    </w:p>
    <w:p w14:paraId="0A5FCD0A" w14:textId="77777777" w:rsidR="00C636D1" w:rsidRPr="00B53EF1" w:rsidRDefault="00C636D1" w:rsidP="00895E2C">
      <w:pPr>
        <w:rPr>
          <w:rFonts w:ascii="Aptos" w:hAnsi="Aptos"/>
          <w:color w:val="000000" w:themeColor="text1"/>
          <w:sz w:val="22"/>
          <w:szCs w:val="22"/>
        </w:rPr>
      </w:pPr>
    </w:p>
    <w:p w14:paraId="4B7312E7" w14:textId="01E0024A" w:rsidR="00785644" w:rsidRPr="00B53EF1" w:rsidRDefault="004D46BA" w:rsidP="007056B1">
      <w:pPr>
        <w:jc w:val="both"/>
        <w:rPr>
          <w:rFonts w:ascii="Aptos" w:hAnsi="Aptos"/>
          <w:b/>
          <w:bCs/>
          <w:color w:val="000000" w:themeColor="text1"/>
          <w:sz w:val="22"/>
          <w:szCs w:val="22"/>
        </w:rPr>
      </w:pPr>
      <w:proofErr w:type="spellStart"/>
      <w:r w:rsidRPr="00B53EF1">
        <w:rPr>
          <w:rFonts w:ascii="Aptos" w:hAnsi="Aptos" w:cs="Arial"/>
          <w:color w:val="000000" w:themeColor="text1"/>
          <w:sz w:val="22"/>
          <w:szCs w:val="22"/>
        </w:rPr>
        <w:t>Electrification</w:t>
      </w:r>
      <w:proofErr w:type="spellEnd"/>
      <w:r w:rsidRPr="00B53EF1">
        <w:rPr>
          <w:rFonts w:ascii="Aptos" w:hAnsi="Aptos" w:cs="Arial"/>
          <w:color w:val="000000" w:themeColor="text1"/>
          <w:sz w:val="22"/>
          <w:szCs w:val="22"/>
        </w:rPr>
        <w:t xml:space="preserve"> Action Plan obejmuje priorytetem również obszar </w:t>
      </w:r>
      <w:r w:rsidR="00785644" w:rsidRPr="00B53EF1">
        <w:rPr>
          <w:rFonts w:ascii="Aptos" w:hAnsi="Aptos"/>
          <w:color w:val="000000" w:themeColor="text1"/>
          <w:sz w:val="22"/>
          <w:szCs w:val="22"/>
        </w:rPr>
        <w:t>magazynowania energii</w:t>
      </w:r>
      <w:r w:rsidRPr="00B53EF1">
        <w:rPr>
          <w:rFonts w:ascii="Aptos" w:hAnsi="Aptos"/>
          <w:color w:val="000000" w:themeColor="text1"/>
          <w:sz w:val="22"/>
          <w:szCs w:val="22"/>
        </w:rPr>
        <w:t>.</w:t>
      </w:r>
      <w:r w:rsidR="007056B1" w:rsidRPr="00B53EF1">
        <w:rPr>
          <w:rFonts w:ascii="Aptos" w:hAnsi="Aptos"/>
          <w:b/>
          <w:bCs/>
          <w:color w:val="000000" w:themeColor="text1"/>
          <w:sz w:val="22"/>
          <w:szCs w:val="22"/>
        </w:rPr>
        <w:t xml:space="preserve"> </w:t>
      </w:r>
      <w:r w:rsidR="007056B1" w:rsidRPr="00B53EF1">
        <w:rPr>
          <w:rFonts w:ascii="Aptos" w:hAnsi="Aptos"/>
          <w:color w:val="000000" w:themeColor="text1"/>
          <w:sz w:val="22"/>
          <w:szCs w:val="22"/>
        </w:rPr>
        <w:t xml:space="preserve">To strategiczny kierunek w kontekście </w:t>
      </w:r>
      <w:r w:rsidR="00785644" w:rsidRPr="00B53EF1">
        <w:rPr>
          <w:rFonts w:ascii="Aptos" w:hAnsi="Aptos"/>
          <w:color w:val="000000" w:themeColor="text1"/>
          <w:sz w:val="22"/>
          <w:szCs w:val="22"/>
        </w:rPr>
        <w:t>wzrost</w:t>
      </w:r>
      <w:r w:rsidR="007056B1" w:rsidRPr="00B53EF1">
        <w:rPr>
          <w:rFonts w:ascii="Aptos" w:hAnsi="Aptos"/>
          <w:color w:val="000000" w:themeColor="text1"/>
          <w:sz w:val="22"/>
          <w:szCs w:val="22"/>
        </w:rPr>
        <w:t>u</w:t>
      </w:r>
      <w:r w:rsidR="00785644" w:rsidRPr="00B53EF1">
        <w:rPr>
          <w:rFonts w:ascii="Aptos" w:hAnsi="Aptos"/>
          <w:color w:val="000000" w:themeColor="text1"/>
          <w:sz w:val="22"/>
          <w:szCs w:val="22"/>
        </w:rPr>
        <w:t xml:space="preserve"> udziału OZE </w:t>
      </w:r>
      <w:r w:rsidR="007056B1" w:rsidRPr="00B53EF1">
        <w:rPr>
          <w:rFonts w:ascii="Aptos" w:hAnsi="Aptos"/>
          <w:color w:val="000000" w:themeColor="text1"/>
          <w:sz w:val="22"/>
          <w:szCs w:val="22"/>
        </w:rPr>
        <w:t>i konieczności</w:t>
      </w:r>
      <w:r w:rsidR="00785644" w:rsidRPr="00B53EF1">
        <w:rPr>
          <w:rFonts w:ascii="Aptos" w:hAnsi="Aptos"/>
          <w:color w:val="000000" w:themeColor="text1"/>
          <w:sz w:val="22"/>
          <w:szCs w:val="22"/>
        </w:rPr>
        <w:t xml:space="preserve"> gromadzeni</w:t>
      </w:r>
      <w:r w:rsidR="007056B1" w:rsidRPr="00B53EF1">
        <w:rPr>
          <w:rFonts w:ascii="Aptos" w:hAnsi="Aptos"/>
          <w:color w:val="000000" w:themeColor="text1"/>
          <w:sz w:val="22"/>
          <w:szCs w:val="22"/>
        </w:rPr>
        <w:t>a</w:t>
      </w:r>
      <w:r w:rsidR="00785644" w:rsidRPr="00B53EF1">
        <w:rPr>
          <w:rFonts w:ascii="Aptos" w:hAnsi="Aptos"/>
          <w:color w:val="000000" w:themeColor="text1"/>
          <w:sz w:val="22"/>
          <w:szCs w:val="22"/>
        </w:rPr>
        <w:t xml:space="preserve"> energii w okresach wysokiej produkcji i wykorzystani</w:t>
      </w:r>
      <w:r w:rsidR="007056B1" w:rsidRPr="00B53EF1">
        <w:rPr>
          <w:rFonts w:ascii="Aptos" w:hAnsi="Aptos"/>
          <w:color w:val="000000" w:themeColor="text1"/>
          <w:sz w:val="22"/>
          <w:szCs w:val="22"/>
        </w:rPr>
        <w:t>a</w:t>
      </w:r>
      <w:r w:rsidR="00785644" w:rsidRPr="00B53EF1">
        <w:rPr>
          <w:rFonts w:ascii="Aptos" w:hAnsi="Aptos"/>
          <w:color w:val="000000" w:themeColor="text1"/>
          <w:sz w:val="22"/>
          <w:szCs w:val="22"/>
        </w:rPr>
        <w:t xml:space="preserve"> jej w czasie zwiększonego zapotrzebowania. </w:t>
      </w:r>
      <w:r w:rsidR="007056B1" w:rsidRPr="00B53EF1">
        <w:rPr>
          <w:rFonts w:ascii="Aptos" w:hAnsi="Aptos"/>
          <w:color w:val="000000" w:themeColor="text1"/>
          <w:sz w:val="22"/>
          <w:szCs w:val="22"/>
        </w:rPr>
        <w:t xml:space="preserve">Rekomendacje obejmują </w:t>
      </w:r>
      <w:r w:rsidR="00785644" w:rsidRPr="00B53EF1">
        <w:rPr>
          <w:rFonts w:ascii="Aptos" w:hAnsi="Aptos"/>
          <w:color w:val="000000" w:themeColor="text1"/>
          <w:sz w:val="22"/>
          <w:szCs w:val="22"/>
        </w:rPr>
        <w:t>rozwój magazynów bateryjnych</w:t>
      </w:r>
      <w:r w:rsidR="007056B1" w:rsidRPr="00B53EF1">
        <w:rPr>
          <w:rFonts w:ascii="Aptos" w:hAnsi="Aptos"/>
          <w:color w:val="000000" w:themeColor="text1"/>
          <w:sz w:val="22"/>
          <w:szCs w:val="22"/>
        </w:rPr>
        <w:t xml:space="preserve"> oraz </w:t>
      </w:r>
      <w:r w:rsidR="00785644" w:rsidRPr="00B53EF1">
        <w:rPr>
          <w:rFonts w:ascii="Aptos" w:hAnsi="Aptos"/>
          <w:color w:val="000000" w:themeColor="text1"/>
          <w:sz w:val="22"/>
          <w:szCs w:val="22"/>
        </w:rPr>
        <w:t xml:space="preserve">magazynów długoterminowych, integrację magazynów energii z siecią, </w:t>
      </w:r>
      <w:r w:rsidR="007056B1" w:rsidRPr="00B53EF1">
        <w:rPr>
          <w:rFonts w:ascii="Aptos" w:hAnsi="Aptos"/>
          <w:color w:val="000000" w:themeColor="text1"/>
          <w:sz w:val="22"/>
          <w:szCs w:val="22"/>
        </w:rPr>
        <w:t>jak również</w:t>
      </w:r>
      <w:r w:rsidR="007056B1" w:rsidRPr="00B53EF1">
        <w:rPr>
          <w:rFonts w:ascii="Aptos" w:hAnsi="Aptos"/>
          <w:b/>
          <w:bCs/>
          <w:color w:val="000000" w:themeColor="text1"/>
          <w:sz w:val="22"/>
          <w:szCs w:val="22"/>
        </w:rPr>
        <w:t xml:space="preserve"> </w:t>
      </w:r>
      <w:r w:rsidR="00785644" w:rsidRPr="00B53EF1">
        <w:rPr>
          <w:rFonts w:ascii="Aptos" w:hAnsi="Aptos"/>
          <w:color w:val="000000" w:themeColor="text1"/>
          <w:sz w:val="22"/>
          <w:szCs w:val="22"/>
        </w:rPr>
        <w:t xml:space="preserve">rozwój elastycznego zarządzania popytem. </w:t>
      </w:r>
    </w:p>
    <w:p w14:paraId="18A9158A" w14:textId="66F8D692" w:rsidR="00785644" w:rsidRPr="00B53EF1" w:rsidRDefault="00785644" w:rsidP="00895E2C">
      <w:pPr>
        <w:jc w:val="both"/>
        <w:rPr>
          <w:rFonts w:ascii="Aptos" w:hAnsi="Aptos"/>
          <w:color w:val="000000" w:themeColor="text1"/>
          <w:sz w:val="22"/>
          <w:szCs w:val="22"/>
        </w:rPr>
      </w:pPr>
      <w:r w:rsidRPr="00B53EF1">
        <w:rPr>
          <w:rFonts w:ascii="Aptos" w:hAnsi="Aptos"/>
          <w:color w:val="000000" w:themeColor="text1"/>
          <w:sz w:val="22"/>
          <w:szCs w:val="22"/>
        </w:rPr>
        <w:t>Powyższe działania mają doprowadzić do osiągnięcia około 200 GW mocy magazynów energii do 2030 r</w:t>
      </w:r>
      <w:r w:rsidR="007056B1" w:rsidRPr="00B53EF1">
        <w:rPr>
          <w:rFonts w:ascii="Aptos" w:hAnsi="Aptos"/>
          <w:color w:val="000000" w:themeColor="text1"/>
          <w:sz w:val="22"/>
          <w:szCs w:val="22"/>
        </w:rPr>
        <w:t>. – to niemal czterokrotnie wyższy poziom niż obecnie</w:t>
      </w:r>
      <w:r w:rsidRPr="00B53EF1">
        <w:rPr>
          <w:rFonts w:ascii="Aptos" w:hAnsi="Aptos"/>
          <w:color w:val="000000" w:themeColor="text1"/>
          <w:sz w:val="22"/>
          <w:szCs w:val="22"/>
        </w:rPr>
        <w:t xml:space="preserve"> </w:t>
      </w:r>
      <w:r w:rsidR="007056B1" w:rsidRPr="00B53EF1">
        <w:rPr>
          <w:rFonts w:ascii="Aptos" w:hAnsi="Aptos"/>
          <w:color w:val="000000" w:themeColor="text1"/>
          <w:sz w:val="22"/>
          <w:szCs w:val="22"/>
        </w:rPr>
        <w:t>(</w:t>
      </w:r>
      <w:r w:rsidRPr="00B53EF1">
        <w:rPr>
          <w:rFonts w:ascii="Aptos" w:hAnsi="Aptos"/>
          <w:color w:val="000000" w:themeColor="text1"/>
          <w:sz w:val="22"/>
          <w:szCs w:val="22"/>
        </w:rPr>
        <w:t>55 GW</w:t>
      </w:r>
      <w:r w:rsidR="007056B1" w:rsidRPr="00B53EF1">
        <w:rPr>
          <w:rFonts w:ascii="Aptos" w:hAnsi="Aptos"/>
          <w:color w:val="000000" w:themeColor="text1"/>
          <w:sz w:val="22"/>
          <w:szCs w:val="22"/>
        </w:rPr>
        <w:t>)</w:t>
      </w:r>
      <w:r w:rsidRPr="00B53EF1">
        <w:rPr>
          <w:rFonts w:ascii="Aptos" w:hAnsi="Aptos"/>
          <w:color w:val="000000" w:themeColor="text1"/>
          <w:sz w:val="22"/>
          <w:szCs w:val="22"/>
        </w:rPr>
        <w:t xml:space="preserve">. </w:t>
      </w:r>
    </w:p>
    <w:p w14:paraId="5C860AB4" w14:textId="77777777" w:rsidR="007056B1" w:rsidRPr="00B53EF1" w:rsidRDefault="007056B1" w:rsidP="00895E2C">
      <w:pPr>
        <w:jc w:val="both"/>
        <w:rPr>
          <w:rFonts w:ascii="Aptos" w:hAnsi="Aptos"/>
          <w:b/>
          <w:bCs/>
          <w:color w:val="000000" w:themeColor="text1"/>
          <w:sz w:val="22"/>
          <w:szCs w:val="22"/>
        </w:rPr>
      </w:pPr>
    </w:p>
    <w:p w14:paraId="1010433C" w14:textId="7F55929A" w:rsidR="00785644" w:rsidRPr="00B53EF1" w:rsidRDefault="007056B1" w:rsidP="00C636D1">
      <w:pPr>
        <w:jc w:val="both"/>
        <w:rPr>
          <w:rFonts w:ascii="Aptos" w:hAnsi="Aptos"/>
          <w:b/>
          <w:bCs/>
          <w:color w:val="000000" w:themeColor="text1"/>
          <w:sz w:val="22"/>
          <w:szCs w:val="22"/>
        </w:rPr>
      </w:pPr>
      <w:r w:rsidRPr="00B53EF1">
        <w:rPr>
          <w:rFonts w:ascii="Aptos" w:hAnsi="Aptos"/>
          <w:b/>
          <w:bCs/>
          <w:color w:val="000000" w:themeColor="text1"/>
          <w:sz w:val="22"/>
          <w:szCs w:val="22"/>
        </w:rPr>
        <w:t xml:space="preserve">- </w:t>
      </w:r>
      <w:r w:rsidRPr="00B53EF1">
        <w:rPr>
          <w:rFonts w:ascii="Aptos" w:hAnsi="Aptos"/>
          <w:i/>
          <w:iCs/>
          <w:color w:val="000000" w:themeColor="text1"/>
          <w:sz w:val="22"/>
          <w:szCs w:val="22"/>
        </w:rPr>
        <w:t>Komisja wyraźnie podkreśla, że najniższe ceny energii występują w krajach</w:t>
      </w:r>
      <w:r w:rsidR="00C636D1" w:rsidRPr="00B53EF1">
        <w:rPr>
          <w:rFonts w:ascii="Aptos" w:hAnsi="Aptos"/>
          <w:i/>
          <w:iCs/>
          <w:color w:val="000000" w:themeColor="text1"/>
          <w:sz w:val="22"/>
          <w:szCs w:val="22"/>
        </w:rPr>
        <w:t xml:space="preserve">, których </w:t>
      </w:r>
      <w:proofErr w:type="spellStart"/>
      <w:r w:rsidR="00C636D1" w:rsidRPr="00B53EF1">
        <w:rPr>
          <w:rFonts w:ascii="Aptos" w:hAnsi="Aptos"/>
          <w:i/>
          <w:iCs/>
          <w:color w:val="000000" w:themeColor="text1"/>
          <w:sz w:val="22"/>
          <w:szCs w:val="22"/>
        </w:rPr>
        <w:t>miks</w:t>
      </w:r>
      <w:proofErr w:type="spellEnd"/>
      <w:r w:rsidR="00C636D1" w:rsidRPr="00B53EF1">
        <w:rPr>
          <w:rFonts w:ascii="Aptos" w:hAnsi="Aptos"/>
          <w:i/>
          <w:iCs/>
          <w:color w:val="000000" w:themeColor="text1"/>
          <w:sz w:val="22"/>
          <w:szCs w:val="22"/>
        </w:rPr>
        <w:t xml:space="preserve"> energetyczny jest w znacznej mierze oparty na źródłach niskoemisyjnych, w szczególności odnawialnych i jądrowych. I to właśnie one są kluczowe dla realizacji celów planu. Aby przyspieszyć rozwój OZE i sieci elektrowni jądrowych Komisja postuluje m.in.  </w:t>
      </w:r>
      <w:r w:rsidR="00785644" w:rsidRPr="00B53EF1">
        <w:rPr>
          <w:rFonts w:ascii="Aptos" w:hAnsi="Aptos"/>
          <w:i/>
          <w:iCs/>
          <w:color w:val="000000" w:themeColor="text1"/>
          <w:sz w:val="22"/>
          <w:szCs w:val="22"/>
        </w:rPr>
        <w:t xml:space="preserve">pełne wdrożenie dyrektywy RED III, przyspieszenie wydawania pozwoleń dla projektów OZE, wsparcie nowych inwestycji jądrowych, współpracę między państwami przy licencjonowaniu reaktorów, </w:t>
      </w:r>
      <w:r w:rsidR="00C636D1" w:rsidRPr="00B53EF1">
        <w:rPr>
          <w:rFonts w:ascii="Aptos" w:hAnsi="Aptos"/>
          <w:i/>
          <w:iCs/>
          <w:color w:val="000000" w:themeColor="text1"/>
          <w:sz w:val="22"/>
          <w:szCs w:val="22"/>
        </w:rPr>
        <w:t xml:space="preserve">czy </w:t>
      </w:r>
      <w:r w:rsidR="00785644" w:rsidRPr="00B53EF1">
        <w:rPr>
          <w:rFonts w:ascii="Aptos" w:hAnsi="Aptos"/>
          <w:i/>
          <w:iCs/>
          <w:color w:val="000000" w:themeColor="text1"/>
          <w:sz w:val="22"/>
          <w:szCs w:val="22"/>
        </w:rPr>
        <w:t xml:space="preserve">lepsze planowanie inwestycji energetycznych. </w:t>
      </w:r>
      <w:r w:rsidR="00C636D1" w:rsidRPr="00B53EF1">
        <w:rPr>
          <w:rFonts w:ascii="Aptos" w:hAnsi="Aptos"/>
          <w:i/>
          <w:iCs/>
          <w:color w:val="000000" w:themeColor="text1"/>
          <w:sz w:val="22"/>
          <w:szCs w:val="22"/>
        </w:rPr>
        <w:t>Ma to doprowadzić do powstanie 100 GW nowych, odnawialnych mocy rocznie do 2030 r.</w:t>
      </w:r>
      <w:r w:rsidR="00D75A76">
        <w:rPr>
          <w:rFonts w:ascii="Aptos" w:hAnsi="Aptos"/>
          <w:i/>
          <w:iCs/>
          <w:color w:val="000000" w:themeColor="text1"/>
          <w:sz w:val="22"/>
          <w:szCs w:val="22"/>
        </w:rPr>
        <w:t xml:space="preserve"> </w:t>
      </w:r>
      <w:r w:rsidR="00C636D1" w:rsidRPr="00B53EF1">
        <w:rPr>
          <w:rFonts w:ascii="Aptos" w:hAnsi="Aptos"/>
          <w:color w:val="000000" w:themeColor="text1"/>
          <w:sz w:val="22"/>
          <w:szCs w:val="22"/>
        </w:rPr>
        <w:t xml:space="preserve">– mówi </w:t>
      </w:r>
      <w:r w:rsidR="00C636D1" w:rsidRPr="00B53EF1">
        <w:rPr>
          <w:rFonts w:ascii="Aptos" w:hAnsi="Aptos"/>
          <w:b/>
          <w:bCs/>
          <w:color w:val="000000" w:themeColor="text1"/>
          <w:sz w:val="22"/>
          <w:szCs w:val="22"/>
        </w:rPr>
        <w:t>Marek Popiołek</w:t>
      </w:r>
      <w:r w:rsidR="00C636D1" w:rsidRPr="00B53EF1">
        <w:rPr>
          <w:rFonts w:ascii="Aptos" w:hAnsi="Aptos"/>
          <w:color w:val="000000" w:themeColor="text1"/>
          <w:sz w:val="22"/>
          <w:szCs w:val="22"/>
        </w:rPr>
        <w:t xml:space="preserve">, Dyrektor Rozwoju Biznesu PSNM. </w:t>
      </w:r>
    </w:p>
    <w:p w14:paraId="120EE426" w14:textId="77777777" w:rsidR="00C636D1" w:rsidRPr="00B53EF1" w:rsidRDefault="00C636D1" w:rsidP="00895E2C">
      <w:pPr>
        <w:rPr>
          <w:rFonts w:ascii="Aptos" w:hAnsi="Aptos"/>
          <w:b/>
          <w:bCs/>
          <w:color w:val="000000" w:themeColor="text1"/>
          <w:sz w:val="22"/>
          <w:szCs w:val="22"/>
        </w:rPr>
      </w:pPr>
    </w:p>
    <w:p w14:paraId="0F1E871D" w14:textId="076D1EB3" w:rsidR="00785644" w:rsidRPr="00B53EF1" w:rsidRDefault="00C636D1" w:rsidP="00CC0F45">
      <w:pPr>
        <w:jc w:val="both"/>
        <w:rPr>
          <w:rFonts w:ascii="Aptos" w:hAnsi="Aptos"/>
          <w:color w:val="000000" w:themeColor="text1"/>
          <w:sz w:val="22"/>
          <w:szCs w:val="22"/>
        </w:rPr>
      </w:pPr>
      <w:r w:rsidRPr="00B53EF1">
        <w:rPr>
          <w:rFonts w:ascii="Aptos" w:hAnsi="Aptos"/>
          <w:color w:val="000000" w:themeColor="text1"/>
          <w:sz w:val="22"/>
          <w:szCs w:val="22"/>
        </w:rPr>
        <w:t>Komisja wskazuje,</w:t>
      </w:r>
      <w:r w:rsidRPr="00B53EF1">
        <w:rPr>
          <w:rFonts w:ascii="Aptos" w:hAnsi="Aptos"/>
          <w:b/>
          <w:bCs/>
          <w:color w:val="000000" w:themeColor="text1"/>
          <w:sz w:val="22"/>
          <w:szCs w:val="22"/>
        </w:rPr>
        <w:t xml:space="preserve"> </w:t>
      </w:r>
      <w:r w:rsidRPr="00B53EF1">
        <w:rPr>
          <w:rFonts w:ascii="Aptos" w:hAnsi="Aptos"/>
          <w:color w:val="000000" w:themeColor="text1"/>
          <w:sz w:val="22"/>
          <w:szCs w:val="22"/>
        </w:rPr>
        <w:t>że</w:t>
      </w:r>
      <w:r w:rsidRPr="00B53EF1">
        <w:rPr>
          <w:rFonts w:ascii="Aptos" w:hAnsi="Aptos"/>
          <w:b/>
          <w:bCs/>
          <w:color w:val="000000" w:themeColor="text1"/>
          <w:sz w:val="22"/>
          <w:szCs w:val="22"/>
        </w:rPr>
        <w:t xml:space="preserve"> </w:t>
      </w:r>
      <w:r w:rsidR="00785644" w:rsidRPr="00B53EF1">
        <w:rPr>
          <w:rFonts w:ascii="Aptos" w:hAnsi="Aptos"/>
          <w:color w:val="000000" w:themeColor="text1"/>
          <w:sz w:val="22"/>
          <w:szCs w:val="22"/>
        </w:rPr>
        <w:t xml:space="preserve">największym ograniczeniem transformacji nie są </w:t>
      </w:r>
      <w:r w:rsidR="00F51C87" w:rsidRPr="00B53EF1">
        <w:rPr>
          <w:rFonts w:ascii="Aptos" w:hAnsi="Aptos"/>
          <w:color w:val="000000" w:themeColor="text1"/>
          <w:sz w:val="22"/>
          <w:szCs w:val="22"/>
        </w:rPr>
        <w:t xml:space="preserve">dostępne </w:t>
      </w:r>
      <w:r w:rsidR="00785644" w:rsidRPr="00B53EF1">
        <w:rPr>
          <w:rFonts w:ascii="Aptos" w:hAnsi="Aptos"/>
          <w:color w:val="000000" w:themeColor="text1"/>
          <w:sz w:val="22"/>
          <w:szCs w:val="22"/>
        </w:rPr>
        <w:t xml:space="preserve">technologie, lecz infrastruktura elektroenergetyczna. </w:t>
      </w:r>
      <w:r w:rsidRPr="00B53EF1">
        <w:rPr>
          <w:rFonts w:ascii="Aptos" w:hAnsi="Aptos"/>
          <w:color w:val="000000" w:themeColor="text1"/>
          <w:sz w:val="22"/>
          <w:szCs w:val="22"/>
        </w:rPr>
        <w:t xml:space="preserve">Wśród największych barier wymienia m.in. zbyt małą </w:t>
      </w:r>
      <w:r w:rsidR="00785644" w:rsidRPr="00B53EF1">
        <w:rPr>
          <w:rFonts w:ascii="Aptos" w:hAnsi="Aptos"/>
          <w:color w:val="000000" w:themeColor="text1"/>
          <w:sz w:val="22"/>
          <w:szCs w:val="22"/>
        </w:rPr>
        <w:lastRenderedPageBreak/>
        <w:t>przepustowość sieci, brak mocy przyłączeniowych, kolejki do przyłączeń</w:t>
      </w:r>
      <w:r w:rsidRPr="00B53EF1">
        <w:rPr>
          <w:rFonts w:ascii="Aptos" w:hAnsi="Aptos"/>
          <w:color w:val="000000" w:themeColor="text1"/>
          <w:sz w:val="22"/>
          <w:szCs w:val="22"/>
        </w:rPr>
        <w:t xml:space="preserve"> oraz </w:t>
      </w:r>
      <w:r w:rsidR="00785644" w:rsidRPr="00B53EF1">
        <w:rPr>
          <w:rFonts w:ascii="Aptos" w:hAnsi="Aptos"/>
          <w:color w:val="000000" w:themeColor="text1"/>
          <w:sz w:val="22"/>
          <w:szCs w:val="22"/>
        </w:rPr>
        <w:t xml:space="preserve">niewystarczające inwestycje sieciowe. </w:t>
      </w:r>
      <w:r w:rsidRPr="00B53EF1">
        <w:rPr>
          <w:rFonts w:ascii="Aptos" w:hAnsi="Aptos"/>
          <w:color w:val="000000" w:themeColor="text1"/>
          <w:sz w:val="22"/>
          <w:szCs w:val="22"/>
        </w:rPr>
        <w:t>Plan kładzie</w:t>
      </w:r>
      <w:r w:rsidR="00785644" w:rsidRPr="00B53EF1">
        <w:rPr>
          <w:rFonts w:ascii="Aptos" w:hAnsi="Aptos"/>
          <w:color w:val="000000" w:themeColor="text1"/>
          <w:sz w:val="22"/>
          <w:szCs w:val="22"/>
        </w:rPr>
        <w:t xml:space="preserve"> nacisk na </w:t>
      </w:r>
      <w:r w:rsidRPr="00B53EF1">
        <w:rPr>
          <w:rFonts w:ascii="Aptos" w:hAnsi="Aptos"/>
          <w:color w:val="000000" w:themeColor="text1"/>
          <w:sz w:val="22"/>
          <w:szCs w:val="22"/>
        </w:rPr>
        <w:t xml:space="preserve">optymalizację każdego z </w:t>
      </w:r>
      <w:r w:rsidR="00785644" w:rsidRPr="00B53EF1">
        <w:rPr>
          <w:rFonts w:ascii="Aptos" w:hAnsi="Aptos"/>
          <w:color w:val="000000" w:themeColor="text1"/>
          <w:sz w:val="22"/>
          <w:szCs w:val="22"/>
        </w:rPr>
        <w:t>tych obszarów</w:t>
      </w:r>
      <w:r w:rsidRPr="00B53EF1">
        <w:rPr>
          <w:rFonts w:ascii="Aptos" w:hAnsi="Aptos"/>
          <w:color w:val="000000" w:themeColor="text1"/>
          <w:sz w:val="22"/>
          <w:szCs w:val="22"/>
        </w:rPr>
        <w:t>.</w:t>
      </w:r>
    </w:p>
    <w:p w14:paraId="21321391" w14:textId="77777777" w:rsidR="00785644" w:rsidRPr="00B53EF1" w:rsidRDefault="00785644" w:rsidP="00CC0F45">
      <w:pPr>
        <w:jc w:val="both"/>
        <w:rPr>
          <w:rFonts w:ascii="Aptos" w:hAnsi="Aptos"/>
          <w:b/>
          <w:bCs/>
          <w:color w:val="000000" w:themeColor="text1"/>
          <w:sz w:val="22"/>
          <w:szCs w:val="22"/>
        </w:rPr>
      </w:pPr>
    </w:p>
    <w:p w14:paraId="029F3A3E" w14:textId="31A339B9" w:rsidR="00895E2C" w:rsidRPr="00CC0F45" w:rsidRDefault="00CC0F45" w:rsidP="00CC0F45">
      <w:pPr>
        <w:jc w:val="both"/>
        <w:rPr>
          <w:rFonts w:ascii="Aptos" w:hAnsi="Aptos"/>
          <w:color w:val="000000" w:themeColor="text1"/>
          <w:sz w:val="22"/>
          <w:szCs w:val="22"/>
        </w:rPr>
      </w:pPr>
      <w:r w:rsidRPr="00B53EF1">
        <w:rPr>
          <w:rFonts w:ascii="Aptos" w:hAnsi="Aptos"/>
          <w:color w:val="000000" w:themeColor="text1"/>
          <w:sz w:val="22"/>
          <w:szCs w:val="22"/>
        </w:rPr>
        <w:t xml:space="preserve">Niezależnie od publikacji </w:t>
      </w:r>
      <w:proofErr w:type="spellStart"/>
      <w:r w:rsidRPr="00B53EF1">
        <w:rPr>
          <w:rFonts w:ascii="Aptos" w:hAnsi="Aptos"/>
          <w:color w:val="000000" w:themeColor="text1"/>
          <w:sz w:val="22"/>
          <w:szCs w:val="22"/>
        </w:rPr>
        <w:t>Electrification</w:t>
      </w:r>
      <w:proofErr w:type="spellEnd"/>
      <w:r w:rsidRPr="00B53EF1">
        <w:rPr>
          <w:rFonts w:ascii="Aptos" w:hAnsi="Aptos"/>
          <w:color w:val="000000" w:themeColor="text1"/>
          <w:sz w:val="22"/>
          <w:szCs w:val="22"/>
        </w:rPr>
        <w:t xml:space="preserve"> Action Plan Komisja przedstawiła również projekt nowelizacji Dyrektywy 2003/87/EC w sprawie ETS. Zdaniem Komisji proponowane zmiany mają przynieść „ulgę przemysłowi” przy zachowaniu zasadniczej roli systemu ETS w </w:t>
      </w:r>
      <w:r w:rsidR="00895E2C" w:rsidRPr="00B53EF1">
        <w:rPr>
          <w:rFonts w:ascii="Aptos" w:hAnsi="Aptos" w:cs="Arial"/>
          <w:color w:val="000000" w:themeColor="text1"/>
          <w:sz w:val="22"/>
          <w:szCs w:val="22"/>
        </w:rPr>
        <w:t>transformacji klimatyczno-energetycznej</w:t>
      </w:r>
      <w:r w:rsidRPr="00B53EF1">
        <w:rPr>
          <w:rFonts w:ascii="Aptos" w:hAnsi="Aptos" w:cs="Arial"/>
          <w:color w:val="000000" w:themeColor="text1"/>
          <w:sz w:val="22"/>
          <w:szCs w:val="22"/>
        </w:rPr>
        <w:t>.</w:t>
      </w:r>
      <w:r w:rsidRPr="00B53EF1">
        <w:rPr>
          <w:rFonts w:ascii="Aptos" w:hAnsi="Aptos"/>
          <w:color w:val="000000" w:themeColor="text1"/>
          <w:sz w:val="22"/>
          <w:szCs w:val="22"/>
        </w:rPr>
        <w:t xml:space="preserve"> </w:t>
      </w:r>
      <w:r w:rsidR="00895E2C" w:rsidRPr="00B53EF1">
        <w:rPr>
          <w:rFonts w:ascii="Aptos" w:hAnsi="Aptos" w:cs="Arial"/>
          <w:color w:val="000000" w:themeColor="text1"/>
          <w:sz w:val="22"/>
          <w:szCs w:val="22"/>
        </w:rPr>
        <w:t xml:space="preserve">Zrewidowany system ETS </w:t>
      </w:r>
      <w:r w:rsidRPr="00B53EF1">
        <w:rPr>
          <w:rFonts w:ascii="Aptos" w:hAnsi="Aptos" w:cs="Arial"/>
          <w:color w:val="000000" w:themeColor="text1"/>
          <w:sz w:val="22"/>
          <w:szCs w:val="22"/>
        </w:rPr>
        <w:t xml:space="preserve">ma się silnie koncentrować na </w:t>
      </w:r>
      <w:r w:rsidR="00895E2C" w:rsidRPr="00B53EF1">
        <w:rPr>
          <w:rStyle w:val="Pogrubienie"/>
          <w:rFonts w:ascii="Aptos" w:hAnsi="Aptos" w:cs="Arial"/>
          <w:color w:val="000000" w:themeColor="text1"/>
          <w:sz w:val="22"/>
          <w:szCs w:val="22"/>
        </w:rPr>
        <w:t>i</w:t>
      </w:r>
      <w:r w:rsidR="00895E2C" w:rsidRPr="00B53EF1">
        <w:rPr>
          <w:rStyle w:val="Pogrubienie"/>
          <w:rFonts w:ascii="Aptos" w:hAnsi="Aptos" w:cs="Arial"/>
          <w:b w:val="0"/>
          <w:bCs w:val="0"/>
          <w:color w:val="000000" w:themeColor="text1"/>
          <w:sz w:val="22"/>
          <w:szCs w:val="22"/>
        </w:rPr>
        <w:t>nwestycjach</w:t>
      </w:r>
      <w:r w:rsidR="00895E2C" w:rsidRPr="00B53EF1">
        <w:rPr>
          <w:rFonts w:ascii="Aptos" w:hAnsi="Aptos" w:cs="Arial"/>
          <w:color w:val="000000" w:themeColor="text1"/>
          <w:sz w:val="22"/>
          <w:szCs w:val="22"/>
        </w:rPr>
        <w:t>. </w:t>
      </w:r>
      <w:r w:rsidRPr="00B53EF1">
        <w:rPr>
          <w:rFonts w:ascii="Aptos" w:hAnsi="Aptos" w:cs="Arial"/>
          <w:color w:val="000000" w:themeColor="text1"/>
          <w:sz w:val="22"/>
          <w:szCs w:val="22"/>
        </w:rPr>
        <w:t xml:space="preserve">Przykładowo, </w:t>
      </w:r>
      <w:r w:rsidR="00895E2C" w:rsidRPr="00B53EF1">
        <w:rPr>
          <w:rStyle w:val="Pogrubienie"/>
          <w:rFonts w:ascii="Aptos" w:hAnsi="Aptos" w:cs="Arial"/>
          <w:b w:val="0"/>
          <w:bCs w:val="0"/>
          <w:color w:val="000000" w:themeColor="text1"/>
          <w:sz w:val="22"/>
          <w:szCs w:val="22"/>
        </w:rPr>
        <w:t>Bank Dekarbonizacji Przemysłu (ITD)</w:t>
      </w:r>
      <w:r w:rsidR="00895E2C" w:rsidRPr="00B53EF1">
        <w:rPr>
          <w:rFonts w:ascii="Aptos" w:hAnsi="Aptos" w:cs="Arial"/>
          <w:color w:val="000000" w:themeColor="text1"/>
          <w:sz w:val="22"/>
          <w:szCs w:val="22"/>
        </w:rPr>
        <w:t> przeznaczy 100 mld euro na dekarbonizację przemysłu w całej Europie.</w:t>
      </w:r>
      <w:r w:rsidR="00895E2C" w:rsidRPr="00CC0F45">
        <w:rPr>
          <w:rFonts w:ascii="Aptos" w:hAnsi="Aptos" w:cs="Arial"/>
          <w:color w:val="000000" w:themeColor="text1"/>
          <w:sz w:val="22"/>
          <w:szCs w:val="22"/>
        </w:rPr>
        <w:t xml:space="preserve"> </w:t>
      </w:r>
    </w:p>
    <w:p w14:paraId="4B121A83" w14:textId="77777777" w:rsidR="00785644" w:rsidRDefault="00785644" w:rsidP="00895E2C">
      <w:pPr>
        <w:rPr>
          <w:rFonts w:ascii="Aptos" w:hAnsi="Aptos" w:cs="Arial"/>
          <w:color w:val="000000" w:themeColor="text1"/>
          <w:sz w:val="22"/>
          <w:szCs w:val="22"/>
        </w:rPr>
      </w:pPr>
    </w:p>
    <w:p w14:paraId="655C1DEE" w14:textId="502D6496" w:rsidR="00D75A76" w:rsidRPr="00895E2C" w:rsidRDefault="00D75A76" w:rsidP="00D75A76">
      <w:pPr>
        <w:jc w:val="both"/>
        <w:rPr>
          <w:rFonts w:ascii="Aptos" w:hAnsi="Aptos" w:cs="Arial"/>
          <w:color w:val="000000" w:themeColor="text1"/>
          <w:sz w:val="22"/>
          <w:szCs w:val="22"/>
        </w:rPr>
      </w:pPr>
      <w:proofErr w:type="spellStart"/>
      <w:r w:rsidRPr="00D75A76">
        <w:rPr>
          <w:rFonts w:ascii="Aptos" w:hAnsi="Aptos" w:cs="Arial"/>
          <w:color w:val="000000" w:themeColor="text1"/>
          <w:sz w:val="22"/>
          <w:szCs w:val="22"/>
        </w:rPr>
        <w:t>Electrification</w:t>
      </w:r>
      <w:proofErr w:type="spellEnd"/>
      <w:r w:rsidRPr="00D75A76">
        <w:rPr>
          <w:rFonts w:ascii="Aptos" w:hAnsi="Aptos" w:cs="Arial"/>
          <w:color w:val="000000" w:themeColor="text1"/>
          <w:sz w:val="22"/>
          <w:szCs w:val="22"/>
        </w:rPr>
        <w:t xml:space="preserve"> Action Plan</w:t>
      </w:r>
      <w:r>
        <w:rPr>
          <w:rFonts w:ascii="Aptos" w:hAnsi="Aptos" w:cs="Arial"/>
          <w:color w:val="000000" w:themeColor="text1"/>
          <w:sz w:val="22"/>
          <w:szCs w:val="22"/>
        </w:rPr>
        <w:t>, reforma ETS, jak również w</w:t>
      </w:r>
      <w:r w:rsidRPr="00D75A76">
        <w:rPr>
          <w:rFonts w:ascii="Aptos" w:hAnsi="Aptos" w:cs="Arial"/>
          <w:color w:val="000000" w:themeColor="text1"/>
          <w:sz w:val="22"/>
          <w:szCs w:val="22"/>
        </w:rPr>
        <w:t xml:space="preserve">yzwania związane z </w:t>
      </w:r>
      <w:r>
        <w:rPr>
          <w:rFonts w:ascii="Aptos" w:hAnsi="Aptos" w:cs="Arial"/>
          <w:color w:val="000000" w:themeColor="text1"/>
          <w:sz w:val="22"/>
          <w:szCs w:val="22"/>
        </w:rPr>
        <w:t>transformacją energetyczną</w:t>
      </w:r>
      <w:r w:rsidRPr="00D75A76">
        <w:rPr>
          <w:rFonts w:ascii="Aptos" w:hAnsi="Aptos" w:cs="Arial"/>
          <w:color w:val="000000" w:themeColor="text1"/>
          <w:sz w:val="22"/>
          <w:szCs w:val="22"/>
        </w:rPr>
        <w:t xml:space="preserve"> </w:t>
      </w:r>
      <w:r>
        <w:rPr>
          <w:rFonts w:ascii="Aptos" w:hAnsi="Aptos" w:cs="Arial"/>
          <w:color w:val="000000" w:themeColor="text1"/>
          <w:sz w:val="22"/>
          <w:szCs w:val="22"/>
        </w:rPr>
        <w:t>oraz</w:t>
      </w:r>
      <w:r w:rsidRPr="00D75A76">
        <w:rPr>
          <w:rFonts w:ascii="Aptos" w:hAnsi="Aptos" w:cs="Arial"/>
          <w:color w:val="000000" w:themeColor="text1"/>
          <w:sz w:val="22"/>
          <w:szCs w:val="22"/>
        </w:rPr>
        <w:t xml:space="preserve"> </w:t>
      </w:r>
      <w:r>
        <w:rPr>
          <w:rFonts w:ascii="Aptos" w:hAnsi="Aptos" w:cs="Arial"/>
          <w:color w:val="000000" w:themeColor="text1"/>
          <w:sz w:val="22"/>
          <w:szCs w:val="22"/>
        </w:rPr>
        <w:t xml:space="preserve">reindustrializacją Unii Europejskiej to jedne z </w:t>
      </w:r>
      <w:r w:rsidRPr="00D75A76">
        <w:rPr>
          <w:rFonts w:ascii="Aptos" w:hAnsi="Aptos" w:cs="Arial"/>
          <w:color w:val="000000" w:themeColor="text1"/>
          <w:sz w:val="22"/>
          <w:szCs w:val="22"/>
        </w:rPr>
        <w:t xml:space="preserve">wiodących </w:t>
      </w:r>
      <w:r>
        <w:rPr>
          <w:rFonts w:ascii="Aptos" w:hAnsi="Aptos" w:cs="Arial"/>
          <w:color w:val="000000" w:themeColor="text1"/>
          <w:sz w:val="22"/>
          <w:szCs w:val="22"/>
        </w:rPr>
        <w:t xml:space="preserve">tematów </w:t>
      </w:r>
      <w:r w:rsidRPr="00D75A76">
        <w:rPr>
          <w:rFonts w:ascii="Aptos" w:hAnsi="Aptos" w:cs="Arial"/>
          <w:color w:val="000000" w:themeColor="text1"/>
          <w:sz w:val="22"/>
          <w:szCs w:val="22"/>
        </w:rPr>
        <w:t xml:space="preserve">tegorocznego Kongresu Nowej Mobilności. </w:t>
      </w:r>
      <w:r>
        <w:rPr>
          <w:rFonts w:ascii="Aptos" w:hAnsi="Aptos" w:cs="Arial"/>
          <w:color w:val="000000" w:themeColor="text1"/>
          <w:sz w:val="22"/>
          <w:szCs w:val="22"/>
        </w:rPr>
        <w:t>Zostaną im poświęcone m.in. dedykowane</w:t>
      </w:r>
      <w:r w:rsidRPr="00D75A76">
        <w:rPr>
          <w:rFonts w:ascii="Aptos" w:hAnsi="Aptos" w:cs="Arial"/>
          <w:color w:val="000000" w:themeColor="text1"/>
          <w:sz w:val="22"/>
          <w:szCs w:val="22"/>
        </w:rPr>
        <w:t xml:space="preserve"> ścieżki merytoryczne „New </w:t>
      </w:r>
      <w:r>
        <w:rPr>
          <w:rFonts w:ascii="Aptos" w:hAnsi="Aptos" w:cs="Arial"/>
          <w:color w:val="000000" w:themeColor="text1"/>
          <w:sz w:val="22"/>
          <w:szCs w:val="22"/>
        </w:rPr>
        <w:t>Energy</w:t>
      </w:r>
      <w:r w:rsidRPr="00D75A76">
        <w:rPr>
          <w:rFonts w:ascii="Aptos" w:hAnsi="Aptos" w:cs="Arial"/>
          <w:color w:val="000000" w:themeColor="text1"/>
          <w:sz w:val="22"/>
          <w:szCs w:val="22"/>
        </w:rPr>
        <w:t xml:space="preserve"> &amp; </w:t>
      </w:r>
      <w:proofErr w:type="spellStart"/>
      <w:r>
        <w:rPr>
          <w:rFonts w:ascii="Aptos" w:hAnsi="Aptos" w:cs="Arial"/>
          <w:color w:val="000000" w:themeColor="text1"/>
          <w:sz w:val="22"/>
          <w:szCs w:val="22"/>
        </w:rPr>
        <w:t>Infrastructure</w:t>
      </w:r>
      <w:proofErr w:type="spellEnd"/>
      <w:r w:rsidRPr="00D75A76">
        <w:rPr>
          <w:rFonts w:ascii="Aptos" w:hAnsi="Aptos" w:cs="Arial"/>
          <w:color w:val="000000" w:themeColor="text1"/>
          <w:sz w:val="22"/>
          <w:szCs w:val="22"/>
        </w:rPr>
        <w:t xml:space="preserve">” oraz „New </w:t>
      </w:r>
      <w:proofErr w:type="spellStart"/>
      <w:r w:rsidRPr="00D75A76">
        <w:rPr>
          <w:rFonts w:ascii="Aptos" w:hAnsi="Aptos" w:cs="Arial"/>
          <w:color w:val="000000" w:themeColor="text1"/>
          <w:sz w:val="22"/>
          <w:szCs w:val="22"/>
        </w:rPr>
        <w:t>Economy</w:t>
      </w:r>
      <w:proofErr w:type="spellEnd"/>
      <w:r w:rsidRPr="00D75A76">
        <w:rPr>
          <w:rFonts w:ascii="Aptos" w:hAnsi="Aptos" w:cs="Arial"/>
          <w:color w:val="000000" w:themeColor="text1"/>
          <w:sz w:val="22"/>
          <w:szCs w:val="22"/>
        </w:rPr>
        <w:t xml:space="preserve"> &amp; </w:t>
      </w:r>
      <w:proofErr w:type="spellStart"/>
      <w:r w:rsidRPr="00D75A76">
        <w:rPr>
          <w:rFonts w:ascii="Aptos" w:hAnsi="Aptos" w:cs="Arial"/>
          <w:color w:val="000000" w:themeColor="text1"/>
          <w:sz w:val="22"/>
          <w:szCs w:val="22"/>
        </w:rPr>
        <w:t>Investments</w:t>
      </w:r>
      <w:proofErr w:type="spellEnd"/>
      <w:r w:rsidRPr="00D75A76">
        <w:rPr>
          <w:rFonts w:ascii="Aptos" w:hAnsi="Aptos" w:cs="Arial"/>
          <w:color w:val="000000" w:themeColor="text1"/>
          <w:sz w:val="22"/>
          <w:szCs w:val="22"/>
        </w:rPr>
        <w:t>”</w:t>
      </w:r>
      <w:r>
        <w:rPr>
          <w:rFonts w:ascii="Aptos" w:hAnsi="Aptos" w:cs="Arial"/>
          <w:color w:val="000000" w:themeColor="text1"/>
          <w:sz w:val="22"/>
          <w:szCs w:val="22"/>
        </w:rPr>
        <w:t xml:space="preserve"> z udziałem </w:t>
      </w:r>
      <w:r w:rsidRPr="00D75A76">
        <w:rPr>
          <w:rFonts w:ascii="Aptos" w:hAnsi="Aptos" w:cs="Arial"/>
          <w:color w:val="000000" w:themeColor="text1"/>
          <w:sz w:val="22"/>
          <w:szCs w:val="22"/>
        </w:rPr>
        <w:t>decydentów z Unii Europejskiej i Polski, w tym przedstawicieli administracji centralnej, biznesu oraz świata nauki. Kongres Nowej Mobilności odbędzie się w Międzynarodowym Centrum Kongresowym w Katowicach, w dniach 23-25.09.2026 r. Więcej informacji o KNM</w:t>
      </w:r>
      <w:r>
        <w:rPr>
          <w:rFonts w:ascii="Aptos" w:hAnsi="Aptos" w:cs="Arial"/>
          <w:color w:val="000000" w:themeColor="text1"/>
          <w:sz w:val="22"/>
          <w:szCs w:val="22"/>
        </w:rPr>
        <w:t xml:space="preserve"> 2026</w:t>
      </w:r>
      <w:r w:rsidRPr="00D75A76">
        <w:rPr>
          <w:rFonts w:ascii="Aptos" w:hAnsi="Aptos" w:cs="Arial"/>
          <w:color w:val="000000" w:themeColor="text1"/>
          <w:sz w:val="22"/>
          <w:szCs w:val="22"/>
        </w:rPr>
        <w:t>: </w:t>
      </w:r>
      <w:hyperlink r:id="rId8" w:tgtFrame="_blank" w:tooltip="https://kongresnowejmobilnosci.pl/" w:history="1">
        <w:r w:rsidRPr="00D75A76">
          <w:rPr>
            <w:rStyle w:val="Hipercze"/>
            <w:rFonts w:ascii="Aptos" w:hAnsi="Aptos" w:cs="Arial"/>
            <w:sz w:val="22"/>
            <w:szCs w:val="22"/>
          </w:rPr>
          <w:t>https://kongresnowejmobilnosci.pl/</w:t>
        </w:r>
      </w:hyperlink>
    </w:p>
    <w:sectPr w:rsidR="00D75A76" w:rsidRPr="00895E2C" w:rsidSect="00232820">
      <w:headerReference w:type="default" r:id="rId9"/>
      <w:footerReference w:type="default" r:id="rId10"/>
      <w:pgSz w:w="11900" w:h="16840"/>
      <w:pgMar w:top="210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B52F9" w14:textId="77777777" w:rsidR="000736BA" w:rsidRDefault="000736BA" w:rsidP="00096C4B">
      <w:r>
        <w:separator/>
      </w:r>
    </w:p>
  </w:endnote>
  <w:endnote w:type="continuationSeparator" w:id="0">
    <w:p w14:paraId="065923D5" w14:textId="77777777" w:rsidR="000736BA" w:rsidRDefault="000736BA" w:rsidP="0009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EFF8" w14:textId="4E6CA520" w:rsidR="00096C4B" w:rsidRDefault="00551AB0">
    <w:pPr>
      <w:pStyle w:val="Stopka"/>
    </w:pPr>
    <w:r>
      <w:rPr>
        <w:noProof/>
      </w:rPr>
      <w:drawing>
        <wp:anchor distT="0" distB="0" distL="114300" distR="114300" simplePos="0" relativeHeight="251660287" behindDoc="0" locked="0" layoutInCell="1" allowOverlap="1" wp14:anchorId="7A17ED27" wp14:editId="440F67C8">
          <wp:simplePos x="0" y="0"/>
          <wp:positionH relativeFrom="margin">
            <wp:posOffset>-300355</wp:posOffset>
          </wp:positionH>
          <wp:positionV relativeFrom="page">
            <wp:posOffset>9969196</wp:posOffset>
          </wp:positionV>
          <wp:extent cx="6352633" cy="483090"/>
          <wp:effectExtent l="0" t="0" r="0" b="0"/>
          <wp:wrapNone/>
          <wp:docPr id="68268480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84800" name="Obraz 2"/>
                  <pic:cNvPicPr/>
                </pic:nvPicPr>
                <pic:blipFill>
                  <a:blip r:embed="rId1">
                    <a:extLst>
                      <a:ext uri="{28A0092B-C50C-407E-A947-70E740481C1C}">
                        <a14:useLocalDpi xmlns:a14="http://schemas.microsoft.com/office/drawing/2010/main" val="0"/>
                      </a:ext>
                    </a:extLst>
                  </a:blip>
                  <a:stretch>
                    <a:fillRect/>
                  </a:stretch>
                </pic:blipFill>
                <pic:spPr>
                  <a:xfrm>
                    <a:off x="0" y="0"/>
                    <a:ext cx="6352633" cy="483090"/>
                  </a:xfrm>
                  <a:prstGeom prst="rect">
                    <a:avLst/>
                  </a:prstGeom>
                </pic:spPr>
              </pic:pic>
            </a:graphicData>
          </a:graphic>
          <wp14:sizeRelH relativeFrom="page">
            <wp14:pctWidth>0</wp14:pctWidth>
          </wp14:sizeRelH>
          <wp14:sizeRelV relativeFrom="page">
            <wp14:pctHeight>0</wp14:pctHeight>
          </wp14:sizeRelV>
        </wp:anchor>
      </w:drawing>
    </w:r>
  </w:p>
  <w:p w14:paraId="57EBEC49" w14:textId="77777777" w:rsidR="00096C4B" w:rsidRDefault="00096C4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B0890" w14:textId="77777777" w:rsidR="000736BA" w:rsidRDefault="000736BA" w:rsidP="00096C4B">
      <w:r>
        <w:separator/>
      </w:r>
    </w:p>
  </w:footnote>
  <w:footnote w:type="continuationSeparator" w:id="0">
    <w:p w14:paraId="38728774" w14:textId="77777777" w:rsidR="000736BA" w:rsidRDefault="000736BA" w:rsidP="0009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12995" w14:textId="7BDA7EBF" w:rsidR="00096C4B" w:rsidRDefault="00422242">
    <w:pPr>
      <w:pStyle w:val="Nagwek"/>
    </w:pPr>
    <w:r>
      <w:rPr>
        <w:noProof/>
      </w:rPr>
      <w:drawing>
        <wp:anchor distT="0" distB="0" distL="114300" distR="114300" simplePos="0" relativeHeight="251661311" behindDoc="0" locked="0" layoutInCell="1" allowOverlap="1" wp14:anchorId="083D6298" wp14:editId="499DB8EE">
          <wp:simplePos x="0" y="0"/>
          <wp:positionH relativeFrom="column">
            <wp:posOffset>0</wp:posOffset>
          </wp:positionH>
          <wp:positionV relativeFrom="paragraph">
            <wp:posOffset>-202261</wp:posOffset>
          </wp:positionV>
          <wp:extent cx="5756910" cy="934085"/>
          <wp:effectExtent l="0" t="0" r="0" b="5715"/>
          <wp:wrapNone/>
          <wp:docPr id="1059273252" name="Obraz 2" descr="Obraz zawierający Grafika, Czcionka, zrzut ekranu,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3252" name="Obraz 2" descr="Obraz zawierający Grafika, Czcionka, zrzut ekranu, logo&#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756910" cy="934085"/>
                  </a:xfrm>
                  <a:prstGeom prst="rect">
                    <a:avLst/>
                  </a:prstGeom>
                </pic:spPr>
              </pic:pic>
            </a:graphicData>
          </a:graphic>
          <wp14:sizeRelH relativeFrom="page">
            <wp14:pctWidth>0</wp14:pctWidth>
          </wp14:sizeRelH>
          <wp14:sizeRelV relativeFrom="page">
            <wp14:pctHeight>0</wp14:pctHeight>
          </wp14:sizeRelV>
        </wp:anchor>
      </w:drawing>
    </w:r>
  </w:p>
  <w:p w14:paraId="54751990" w14:textId="77777777" w:rsidR="00096C4B" w:rsidRDefault="00096C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9791A"/>
    <w:multiLevelType w:val="multilevel"/>
    <w:tmpl w:val="3D6E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47AE0"/>
    <w:multiLevelType w:val="multilevel"/>
    <w:tmpl w:val="7CCAD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8773D6"/>
    <w:multiLevelType w:val="hybridMultilevel"/>
    <w:tmpl w:val="12CEB19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6A4187C"/>
    <w:multiLevelType w:val="multilevel"/>
    <w:tmpl w:val="14C4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136499"/>
    <w:multiLevelType w:val="multilevel"/>
    <w:tmpl w:val="0124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0E3E78"/>
    <w:multiLevelType w:val="multilevel"/>
    <w:tmpl w:val="7E6A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4D55C8"/>
    <w:multiLevelType w:val="multilevel"/>
    <w:tmpl w:val="348E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4E4905"/>
    <w:multiLevelType w:val="multilevel"/>
    <w:tmpl w:val="F624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844EF8"/>
    <w:multiLevelType w:val="multilevel"/>
    <w:tmpl w:val="77A8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D07443"/>
    <w:multiLevelType w:val="multilevel"/>
    <w:tmpl w:val="1A88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9968C6"/>
    <w:multiLevelType w:val="hybridMultilevel"/>
    <w:tmpl w:val="716828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0891A88"/>
    <w:multiLevelType w:val="multilevel"/>
    <w:tmpl w:val="3458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947BD3"/>
    <w:multiLevelType w:val="multilevel"/>
    <w:tmpl w:val="4FE0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49535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8044725">
    <w:abstractNumId w:val="2"/>
  </w:num>
  <w:num w:numId="3" w16cid:durableId="650447422">
    <w:abstractNumId w:val="9"/>
  </w:num>
  <w:num w:numId="4" w16cid:durableId="1450397396">
    <w:abstractNumId w:val="3"/>
  </w:num>
  <w:num w:numId="5" w16cid:durableId="530647802">
    <w:abstractNumId w:val="6"/>
  </w:num>
  <w:num w:numId="6" w16cid:durableId="953488183">
    <w:abstractNumId w:val="1"/>
  </w:num>
  <w:num w:numId="7" w16cid:durableId="1686325302">
    <w:abstractNumId w:val="8"/>
  </w:num>
  <w:num w:numId="8" w16cid:durableId="2130974644">
    <w:abstractNumId w:val="11"/>
  </w:num>
  <w:num w:numId="9" w16cid:durableId="1810243839">
    <w:abstractNumId w:val="0"/>
  </w:num>
  <w:num w:numId="10" w16cid:durableId="2121872663">
    <w:abstractNumId w:val="5"/>
  </w:num>
  <w:num w:numId="11" w16cid:durableId="691493940">
    <w:abstractNumId w:val="7"/>
  </w:num>
  <w:num w:numId="12" w16cid:durableId="202639492">
    <w:abstractNumId w:val="12"/>
  </w:num>
  <w:num w:numId="13" w16cid:durableId="251356168">
    <w:abstractNumId w:val="4"/>
  </w:num>
  <w:num w:numId="14" w16cid:durableId="17266864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A7"/>
    <w:rsid w:val="00050560"/>
    <w:rsid w:val="00053D50"/>
    <w:rsid w:val="000608F2"/>
    <w:rsid w:val="000736BA"/>
    <w:rsid w:val="00096C4B"/>
    <w:rsid w:val="000B6186"/>
    <w:rsid w:val="000C0FE4"/>
    <w:rsid w:val="000C3267"/>
    <w:rsid w:val="001C30D0"/>
    <w:rsid w:val="00232820"/>
    <w:rsid w:val="00287DD2"/>
    <w:rsid w:val="002B2A89"/>
    <w:rsid w:val="003A092F"/>
    <w:rsid w:val="00412878"/>
    <w:rsid w:val="00422242"/>
    <w:rsid w:val="004624F6"/>
    <w:rsid w:val="00494030"/>
    <w:rsid w:val="004D46BA"/>
    <w:rsid w:val="00520EA9"/>
    <w:rsid w:val="005404E1"/>
    <w:rsid w:val="00551AB0"/>
    <w:rsid w:val="0056239B"/>
    <w:rsid w:val="00570F09"/>
    <w:rsid w:val="005739E3"/>
    <w:rsid w:val="005B145E"/>
    <w:rsid w:val="005E2DFC"/>
    <w:rsid w:val="00623CFE"/>
    <w:rsid w:val="00643FAB"/>
    <w:rsid w:val="006808F1"/>
    <w:rsid w:val="00693A67"/>
    <w:rsid w:val="007056B1"/>
    <w:rsid w:val="00716957"/>
    <w:rsid w:val="00732D01"/>
    <w:rsid w:val="00785644"/>
    <w:rsid w:val="007B6846"/>
    <w:rsid w:val="00832C9A"/>
    <w:rsid w:val="00895E2C"/>
    <w:rsid w:val="008D50AF"/>
    <w:rsid w:val="009113D2"/>
    <w:rsid w:val="00A42383"/>
    <w:rsid w:val="00A61088"/>
    <w:rsid w:val="00AD5F17"/>
    <w:rsid w:val="00B339EC"/>
    <w:rsid w:val="00B53EF1"/>
    <w:rsid w:val="00B94DF6"/>
    <w:rsid w:val="00BB1270"/>
    <w:rsid w:val="00C56F49"/>
    <w:rsid w:val="00C61704"/>
    <w:rsid w:val="00C636D1"/>
    <w:rsid w:val="00C91224"/>
    <w:rsid w:val="00CA21F3"/>
    <w:rsid w:val="00CB676E"/>
    <w:rsid w:val="00CC0F45"/>
    <w:rsid w:val="00D75A76"/>
    <w:rsid w:val="00D77E48"/>
    <w:rsid w:val="00DF10DB"/>
    <w:rsid w:val="00EA2A41"/>
    <w:rsid w:val="00F51C87"/>
    <w:rsid w:val="00FB5FBF"/>
    <w:rsid w:val="00FF69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96D1E"/>
  <w15:chartTrackingRefBased/>
  <w15:docId w15:val="{C39292D7-AEC1-954A-AE02-C90714A4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pistreci10">
    <w:name w:val="Spis treści 10"/>
    <w:basedOn w:val="Spistreci2"/>
    <w:qFormat/>
    <w:rsid w:val="00A61088"/>
    <w:pPr>
      <w:tabs>
        <w:tab w:val="left" w:pos="567"/>
        <w:tab w:val="left" w:pos="900"/>
        <w:tab w:val="right" w:leader="dot" w:pos="9488"/>
      </w:tabs>
      <w:spacing w:before="120" w:after="0" w:line="288" w:lineRule="auto"/>
      <w:ind w:left="567" w:hanging="567"/>
    </w:pPr>
    <w:rPr>
      <w:rFonts w:ascii="Century Gothic" w:eastAsia="Times New Roman" w:hAnsi="Century Gothic" w:cs="Times New Roman"/>
      <w:bCs/>
      <w:noProof/>
      <w:sz w:val="22"/>
      <w:szCs w:val="22"/>
      <w:lang w:val="en-GB" w:eastAsia="da-DK"/>
    </w:rPr>
  </w:style>
  <w:style w:type="paragraph" w:styleId="Spistreci2">
    <w:name w:val="toc 2"/>
    <w:basedOn w:val="Normalny"/>
    <w:next w:val="Normalny"/>
    <w:autoRedefine/>
    <w:uiPriority w:val="39"/>
    <w:semiHidden/>
    <w:unhideWhenUsed/>
    <w:rsid w:val="00A61088"/>
    <w:pPr>
      <w:spacing w:after="100"/>
      <w:ind w:left="240"/>
    </w:pPr>
  </w:style>
  <w:style w:type="paragraph" w:styleId="Nagwek">
    <w:name w:val="header"/>
    <w:basedOn w:val="Normalny"/>
    <w:link w:val="NagwekZnak"/>
    <w:uiPriority w:val="99"/>
    <w:unhideWhenUsed/>
    <w:rsid w:val="00096C4B"/>
    <w:pPr>
      <w:tabs>
        <w:tab w:val="center" w:pos="4536"/>
        <w:tab w:val="right" w:pos="9072"/>
      </w:tabs>
    </w:pPr>
  </w:style>
  <w:style w:type="character" w:customStyle="1" w:styleId="NagwekZnak">
    <w:name w:val="Nagłówek Znak"/>
    <w:basedOn w:val="Domylnaczcionkaakapitu"/>
    <w:link w:val="Nagwek"/>
    <w:uiPriority w:val="99"/>
    <w:rsid w:val="00096C4B"/>
  </w:style>
  <w:style w:type="paragraph" w:styleId="Stopka">
    <w:name w:val="footer"/>
    <w:basedOn w:val="Normalny"/>
    <w:link w:val="StopkaZnak"/>
    <w:uiPriority w:val="99"/>
    <w:unhideWhenUsed/>
    <w:rsid w:val="00096C4B"/>
    <w:pPr>
      <w:tabs>
        <w:tab w:val="center" w:pos="4536"/>
        <w:tab w:val="right" w:pos="9072"/>
      </w:tabs>
    </w:pPr>
  </w:style>
  <w:style w:type="character" w:customStyle="1" w:styleId="StopkaZnak">
    <w:name w:val="Stopka Znak"/>
    <w:basedOn w:val="Domylnaczcionkaakapitu"/>
    <w:link w:val="Stopka"/>
    <w:uiPriority w:val="99"/>
    <w:rsid w:val="00096C4B"/>
  </w:style>
  <w:style w:type="paragraph" w:styleId="Akapitzlist">
    <w:name w:val="List Paragraph"/>
    <w:basedOn w:val="Normalny"/>
    <w:uiPriority w:val="34"/>
    <w:qFormat/>
    <w:rsid w:val="00412878"/>
    <w:pPr>
      <w:ind w:left="720"/>
      <w:contextualSpacing/>
    </w:pPr>
  </w:style>
  <w:style w:type="character" w:styleId="Pogrubienie">
    <w:name w:val="Strong"/>
    <w:basedOn w:val="Domylnaczcionkaakapitu"/>
    <w:uiPriority w:val="22"/>
    <w:qFormat/>
    <w:rsid w:val="00785644"/>
    <w:rPr>
      <w:b/>
      <w:bCs/>
    </w:rPr>
  </w:style>
  <w:style w:type="character" w:styleId="Hipercze">
    <w:name w:val="Hyperlink"/>
    <w:basedOn w:val="Domylnaczcionkaakapitu"/>
    <w:uiPriority w:val="99"/>
    <w:unhideWhenUsed/>
    <w:rsid w:val="00785644"/>
    <w:rPr>
      <w:color w:val="0000FF"/>
      <w:u w:val="single"/>
    </w:rPr>
  </w:style>
  <w:style w:type="character" w:styleId="Odwoaniedokomentarza">
    <w:name w:val="annotation reference"/>
    <w:basedOn w:val="Domylnaczcionkaakapitu"/>
    <w:uiPriority w:val="99"/>
    <w:semiHidden/>
    <w:unhideWhenUsed/>
    <w:rsid w:val="004D46BA"/>
    <w:rPr>
      <w:sz w:val="16"/>
      <w:szCs w:val="16"/>
    </w:rPr>
  </w:style>
  <w:style w:type="paragraph" w:styleId="Tekstkomentarza">
    <w:name w:val="annotation text"/>
    <w:basedOn w:val="Normalny"/>
    <w:link w:val="TekstkomentarzaZnak"/>
    <w:uiPriority w:val="99"/>
    <w:unhideWhenUsed/>
    <w:rsid w:val="004D46BA"/>
    <w:rPr>
      <w:sz w:val="20"/>
      <w:szCs w:val="20"/>
    </w:rPr>
  </w:style>
  <w:style w:type="character" w:customStyle="1" w:styleId="TekstkomentarzaZnak">
    <w:name w:val="Tekst komentarza Znak"/>
    <w:basedOn w:val="Domylnaczcionkaakapitu"/>
    <w:link w:val="Tekstkomentarza"/>
    <w:uiPriority w:val="99"/>
    <w:rsid w:val="004D46BA"/>
    <w:rPr>
      <w:sz w:val="20"/>
      <w:szCs w:val="20"/>
    </w:rPr>
  </w:style>
  <w:style w:type="paragraph" w:styleId="Tematkomentarza">
    <w:name w:val="annotation subject"/>
    <w:basedOn w:val="Tekstkomentarza"/>
    <w:next w:val="Tekstkomentarza"/>
    <w:link w:val="TematkomentarzaZnak"/>
    <w:uiPriority w:val="99"/>
    <w:semiHidden/>
    <w:unhideWhenUsed/>
    <w:rsid w:val="004D46BA"/>
    <w:rPr>
      <w:b/>
      <w:bCs/>
    </w:rPr>
  </w:style>
  <w:style w:type="character" w:customStyle="1" w:styleId="TematkomentarzaZnak">
    <w:name w:val="Temat komentarza Znak"/>
    <w:basedOn w:val="TekstkomentarzaZnak"/>
    <w:link w:val="Tematkomentarza"/>
    <w:uiPriority w:val="99"/>
    <w:semiHidden/>
    <w:rsid w:val="004D46BA"/>
    <w:rPr>
      <w:b/>
      <w:bCs/>
      <w:sz w:val="20"/>
      <w:szCs w:val="20"/>
    </w:rPr>
  </w:style>
  <w:style w:type="character" w:styleId="Nierozpoznanawzmianka">
    <w:name w:val="Unresolved Mention"/>
    <w:basedOn w:val="Domylnaczcionkaakapitu"/>
    <w:uiPriority w:val="99"/>
    <w:semiHidden/>
    <w:unhideWhenUsed/>
    <w:rsid w:val="00D75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gresnowejmobilnosci.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6EDDC-9400-4D4D-AFCB-03D7328CB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1234</Words>
  <Characters>7408</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Furmanek</dc:creator>
  <cp:keywords/>
  <dc:description/>
  <cp:lastModifiedBy>Jan Wiewiór</cp:lastModifiedBy>
  <cp:revision>5</cp:revision>
  <cp:lastPrinted>2026-07-20T12:14:00Z</cp:lastPrinted>
  <dcterms:created xsi:type="dcterms:W3CDTF">2026-07-17T14:58:00Z</dcterms:created>
  <dcterms:modified xsi:type="dcterms:W3CDTF">2026-07-20T12:14:00Z</dcterms:modified>
</cp:coreProperties>
</file>