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240" w:line="276" w:lineRule="auto"/>
        <w:jc w:val="center"/>
        <w:rPr>
          <w:b w:val="1"/>
          <w:i w:val="1"/>
          <w:sz w:val="24"/>
          <w:szCs w:val="24"/>
          <w:highlight w:val="white"/>
          <w:u w:val="single"/>
        </w:rPr>
      </w:pPr>
      <w:r w:rsidDel="00000000" w:rsidR="00000000" w:rsidRPr="00000000">
        <w:rPr>
          <w:b w:val="1"/>
          <w:i w:val="1"/>
          <w:sz w:val="24"/>
          <w:szCs w:val="24"/>
          <w:highlight w:val="white"/>
          <w:u w:val="single"/>
          <w:rtl w:val="0"/>
        </w:rPr>
        <w:t xml:space="preserve">TZ: </w:t>
      </w:r>
      <w:r w:rsidDel="00000000" w:rsidR="00000000" w:rsidRPr="00000000">
        <w:rPr>
          <w:b w:val="1"/>
          <w:sz w:val="24"/>
          <w:szCs w:val="24"/>
          <w:u w:val="single"/>
          <w:rtl w:val="0"/>
        </w:rPr>
        <w:t xml:space="preserve">Spolupráce ČNS a Zlaťáky.cz startuje výstavou přemyslovských mincí v Ostravě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Ostrava, 6. března 2025</w:t>
      </w:r>
    </w:p>
    <w:p w:rsidR="00000000" w:rsidDel="00000000" w:rsidP="00000000" w:rsidRDefault="00000000" w:rsidRPr="00000000" w14:paraId="0000000A">
      <w:pPr>
        <w:spacing w:after="240" w:before="240" w:line="276" w:lineRule="auto"/>
        <w:jc w:val="both"/>
        <w:rPr>
          <w:color w:val="292929"/>
          <w:sz w:val="24"/>
          <w:szCs w:val="24"/>
          <w:highlight w:val="white"/>
        </w:rPr>
      </w:pPr>
      <w:r w:rsidDel="00000000" w:rsidR="00000000" w:rsidRPr="00000000">
        <w:rPr>
          <w:b w:val="1"/>
          <w:i w:val="1"/>
          <w:sz w:val="24"/>
          <w:szCs w:val="24"/>
          <w:rtl w:val="0"/>
        </w:rPr>
        <w:t xml:space="preserve">Česká numismatická společnost (ČNS) a Zlaťáky.cz spojily síly, aby veřejnosti přiblížily historii a hodnotu historických mincí. Jejich spolupráci zahajuje výstava Mince Přemyslovců, která potrvá od 6. do 24. března v ostravské prodejně Zlaťáky.cz. Návštěvníci zde uvidí unikátní sbírku historických ražeb členů ČNS, včetně vzácných denárů, brakteátů a pražského groše.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276" w:lineRule="auto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rtl w:val="0"/>
        </w:rPr>
        <w:t xml:space="preserve">Při pohledu na historická platidla si mnozí kladou otázku – kdo je kdysi držel v rukou? Mohlo jít o některého z přemyslovských knížat, či dokonce samotného krále? Odpověď zůstane navždy zahalena tajemstvím, avšak dochované mince nám umožňují alespoň na chvíli nahlédnout do minulosti, přiblížit se významným </w:t>
      </w:r>
      <w:r w:rsidDel="00000000" w:rsidR="00000000" w:rsidRPr="00000000">
        <w:rPr>
          <w:sz w:val="24"/>
          <w:szCs w:val="24"/>
          <w:rtl w:val="0"/>
        </w:rPr>
        <w:t xml:space="preserve">panovníkům</w:t>
      </w:r>
      <w:r w:rsidDel="00000000" w:rsidR="00000000" w:rsidRPr="00000000">
        <w:rPr>
          <w:sz w:val="24"/>
          <w:szCs w:val="24"/>
          <w:rtl w:val="0"/>
        </w:rPr>
        <w:t xml:space="preserve"> a nechat pracovat naši představivost. </w:t>
      </w:r>
      <w:r w:rsidDel="00000000" w:rsidR="00000000" w:rsidRPr="00000000">
        <w:rPr>
          <w:i w:val="1"/>
          <w:sz w:val="24"/>
          <w:szCs w:val="24"/>
          <w:rtl w:val="0"/>
        </w:rPr>
        <w:t xml:space="preserve">„Výstava je exkurzí do historie, která ukazuje, čím naši předkové platili a jak se mince v průběhu staletí </w:t>
      </w:r>
      <w:r w:rsidDel="00000000" w:rsidR="00000000" w:rsidRPr="00000000">
        <w:rPr>
          <w:i w:val="1"/>
          <w:sz w:val="24"/>
          <w:szCs w:val="24"/>
          <w:rtl w:val="0"/>
        </w:rPr>
        <w:t xml:space="preserve">proměňovaly</w:t>
      </w:r>
      <w:r w:rsidDel="00000000" w:rsidR="00000000" w:rsidRPr="00000000">
        <w:rPr>
          <w:i w:val="1"/>
          <w:sz w:val="24"/>
          <w:szCs w:val="24"/>
          <w:rtl w:val="0"/>
        </w:rPr>
        <w:t xml:space="preserve">. Tyto dochované kousky jsou posly z minulosti – historie na dosah ruky,“</w:t>
      </w:r>
      <w:r w:rsidDel="00000000" w:rsidR="00000000" w:rsidRPr="00000000">
        <w:rPr>
          <w:sz w:val="24"/>
          <w:szCs w:val="24"/>
          <w:rtl w:val="0"/>
        </w:rPr>
        <w:t xml:space="preserve"> říká analytik společnosti Zlaťáky.cz Jakub Petruška.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240" w:line="276" w:lineRule="auto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240" w:line="276" w:lineRule="auto"/>
        <w:jc w:val="center"/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</w:rPr>
        <w:drawing>
          <wp:inline distB="114300" distT="114300" distL="114300" distR="114300">
            <wp:extent cx="4186238" cy="2412997"/>
            <wp:effectExtent b="0" l="0" r="0" t="0"/>
            <wp:docPr id="7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186238" cy="241299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240" w:line="276" w:lineRule="auto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240" w:line="276" w:lineRule="auto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240" w:line="276" w:lineRule="auto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240" w:line="276" w:lineRule="auto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240" w:line="276" w:lineRule="auto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240" w:line="276" w:lineRule="auto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Style w:val="Heading3"/>
        <w:keepNext w:val="0"/>
        <w:keepLines w:val="0"/>
        <w:numPr>
          <w:ilvl w:val="0"/>
          <w:numId w:val="2"/>
        </w:numPr>
        <w:spacing w:before="280" w:line="276" w:lineRule="auto"/>
        <w:ind w:left="720" w:hanging="360"/>
        <w:jc w:val="both"/>
        <w:rPr>
          <w:b w:val="1"/>
          <w:sz w:val="24"/>
          <w:szCs w:val="24"/>
        </w:rPr>
      </w:pPr>
      <w:bookmarkStart w:colFirst="0" w:colLast="0" w:name="_heading=h.bcvptb5vmzjp" w:id="0"/>
      <w:bookmarkEnd w:id="0"/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Denáry</w:t>
      </w:r>
    </w:p>
    <w:p w:rsidR="00000000" w:rsidDel="00000000" w:rsidP="00000000" w:rsidRDefault="00000000" w:rsidRPr="00000000" w14:paraId="00000015">
      <w:pPr>
        <w:spacing w:after="240" w:before="240" w:line="276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První vládní mince na území Čech, Moravy a Slezska začala razit přemyslovská knížata, přičemž nejstarší ražby, známé jako denáry, byly vyrobeny ze stříbra. Jejich výroba </w:t>
      </w:r>
      <w:r w:rsidDel="00000000" w:rsidR="00000000" w:rsidRPr="00000000">
        <w:rPr>
          <w:sz w:val="24"/>
          <w:szCs w:val="24"/>
          <w:rtl w:val="0"/>
        </w:rPr>
        <w:t xml:space="preserve">započala</w:t>
      </w:r>
      <w:r w:rsidDel="00000000" w:rsidR="00000000" w:rsidRPr="00000000">
        <w:rPr>
          <w:sz w:val="24"/>
          <w:szCs w:val="24"/>
          <w:rtl w:val="0"/>
        </w:rPr>
        <w:t xml:space="preserve"> na sklonku vlády Boleslava I. (935–972) a zmiňuje se o nich i židovský kupec </w:t>
      </w:r>
      <w:r w:rsidDel="00000000" w:rsidR="00000000" w:rsidRPr="00000000">
        <w:rPr>
          <w:sz w:val="24"/>
          <w:szCs w:val="24"/>
          <w:rtl w:val="0"/>
        </w:rPr>
        <w:t xml:space="preserve">Ibráhím</w:t>
      </w:r>
      <w:r w:rsidDel="00000000" w:rsidR="00000000" w:rsidRPr="00000000">
        <w:rPr>
          <w:sz w:val="24"/>
          <w:szCs w:val="24"/>
          <w:rtl w:val="0"/>
        </w:rPr>
        <w:t xml:space="preserve"> ibn Jákub. V polovině 11. století snížil Břetislav I. jejich váhu a zmenšil průměr. Mince razili všichni vládnoucí Přemyslovci, ale známé jsou i ražby moravských údělných knížat z Brna, Olomouce a Znojma. Na denárech krále Vratislava I. se dokonce objevuje jeho portrét s královskou korunou. Denáry z 12. století pak patří mezi nejkrásnější evropské středověké ražby, vynikající bohatou ikonografií a mistrovským umělecko-řemeslným provedením.</w:t>
      </w:r>
    </w:p>
    <w:p w:rsidR="00000000" w:rsidDel="00000000" w:rsidP="00000000" w:rsidRDefault="00000000" w:rsidRPr="00000000" w14:paraId="00000016">
      <w:pPr>
        <w:pStyle w:val="Heading3"/>
        <w:keepNext w:val="0"/>
        <w:keepLines w:val="0"/>
        <w:numPr>
          <w:ilvl w:val="0"/>
          <w:numId w:val="3"/>
        </w:numPr>
        <w:spacing w:before="280" w:line="276" w:lineRule="auto"/>
        <w:ind w:left="720" w:hanging="360"/>
        <w:jc w:val="both"/>
        <w:rPr>
          <w:b w:val="1"/>
          <w:sz w:val="24"/>
          <w:szCs w:val="24"/>
        </w:rPr>
      </w:pPr>
      <w:bookmarkStart w:colFirst="0" w:colLast="0" w:name="_heading=h.b09phk8vhsni" w:id="1"/>
      <w:bookmarkEnd w:id="1"/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Brakteáty</w:t>
      </w:r>
    </w:p>
    <w:p w:rsidR="00000000" w:rsidDel="00000000" w:rsidP="00000000" w:rsidRDefault="00000000" w:rsidRPr="00000000" w14:paraId="00000017">
      <w:pPr>
        <w:spacing w:after="240" w:before="240" w:line="276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Ve 13. století se změnila technologie ražby. Přemyslovští králové začali razit denáry ve formě brakteátů, tedy mincí z tenkého stříbrného plechu s vysokou ryzostí. Termín "brakteát" je moderní označení stejně jako jejich rozdělení na malé, střední a velké. Pro lidi té doby to byly stále denáry. Jejich technické provedení umožňovalo snadnou dělitelnost a skládání z více kusů do větších hodnot. Na brakteátu Přemysla Otakara II. se poprvé objevuje dvouocasý lev.</w:t>
      </w:r>
    </w:p>
    <w:p w:rsidR="00000000" w:rsidDel="00000000" w:rsidP="00000000" w:rsidRDefault="00000000" w:rsidRPr="00000000" w14:paraId="00000018">
      <w:pPr>
        <w:pStyle w:val="Heading3"/>
        <w:keepNext w:val="0"/>
        <w:keepLines w:val="0"/>
        <w:numPr>
          <w:ilvl w:val="0"/>
          <w:numId w:val="1"/>
        </w:numPr>
        <w:spacing w:before="280" w:line="276" w:lineRule="auto"/>
        <w:ind w:left="720" w:hanging="360"/>
        <w:jc w:val="both"/>
        <w:rPr>
          <w:b w:val="1"/>
          <w:sz w:val="24"/>
          <w:szCs w:val="24"/>
        </w:rPr>
      </w:pPr>
      <w:bookmarkStart w:colFirst="0" w:colLast="0" w:name="_heading=h.fbtg80gqi6zj" w:id="2"/>
      <w:bookmarkEnd w:id="2"/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Pražské groše</w:t>
      </w:r>
    </w:p>
    <w:p w:rsidR="00000000" w:rsidDel="00000000" w:rsidP="00000000" w:rsidRDefault="00000000" w:rsidRPr="00000000" w14:paraId="00000019">
      <w:pPr>
        <w:spacing w:after="240" w:before="240" w:line="276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V roce 1300 provedl král Václav II. měnovou reformu a soustředil ražbu mincí do Kutné Hory, bohaté na naleziště stříbra. S těžbou a výrobou pomáhali odborníci ze severní Itálie, díky nimž se pražské groše staly uznávaným platidlem v celé Evropě. V českých zemích obíhaly i zahraniční mince, zejména během poručnictví Oty Braniborského nad Václavem II. Mince jeho syna, Václava III., posledního přemyslovského panovníka, nejsou známy, ale razil je v Uhrách. Poslední přemyslovské ražby pak vydával opavský vévoda Přemek II., potomek nemanželského syna Přemysla Otakara II.</w:t>
      </w:r>
    </w:p>
    <w:p w:rsidR="00000000" w:rsidDel="00000000" w:rsidP="00000000" w:rsidRDefault="00000000" w:rsidRPr="00000000" w14:paraId="0000001A">
      <w:pPr>
        <w:spacing w:line="276" w:lineRule="auto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line="276" w:lineRule="auto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line="276" w:lineRule="auto"/>
        <w:jc w:val="center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line="276" w:lineRule="auto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line="276" w:lineRule="auto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line="276" w:lineRule="auto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line="276" w:lineRule="auto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line="276" w:lineRule="auto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line="276" w:lineRule="auto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line="276" w:lineRule="auto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line="276" w:lineRule="auto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line="276" w:lineRule="auto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line="276" w:lineRule="auto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line="276" w:lineRule="auto"/>
        <w:jc w:val="both"/>
        <w:rPr>
          <w:b w:val="1"/>
          <w:color w:val="222222"/>
          <w:sz w:val="24"/>
          <w:szCs w:val="24"/>
          <w:u w:val="single"/>
        </w:rPr>
      </w:pPr>
      <w:r w:rsidDel="00000000" w:rsidR="00000000" w:rsidRPr="00000000">
        <w:rPr>
          <w:i w:val="1"/>
          <w:sz w:val="24"/>
          <w:szCs w:val="24"/>
          <w:rtl w:val="0"/>
        </w:rPr>
        <w:t xml:space="preserve">„Výstava Mince Přemyslovců v kamenné prodejně Zlaťáky.cz propojuje historické dědictví s moderní numismatikou. Zatímco staré mince nabízejí jedinečný fyzický kontakt s minulostí, současné investiční a sběratelské ražby ukazují, že tradice mincovnictví nadále žije a vyvíjí se,“ </w:t>
      </w:r>
      <w:r w:rsidDel="00000000" w:rsidR="00000000" w:rsidRPr="00000000">
        <w:rPr>
          <w:sz w:val="24"/>
          <w:szCs w:val="24"/>
          <w:rtl w:val="0"/>
        </w:rPr>
        <w:t xml:space="preserve">doplňuje předseda České numismatické společnosti Michal Mašek.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line="276" w:lineRule="auto"/>
        <w:jc w:val="both"/>
        <w:rPr>
          <w:b w:val="1"/>
          <w:color w:val="222222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240" w:line="276" w:lineRule="auto"/>
        <w:jc w:val="both"/>
        <w:rPr>
          <w:sz w:val="24"/>
          <w:szCs w:val="24"/>
          <w:highlight w:val="white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before="120" w:line="276" w:lineRule="auto"/>
        <w:jc w:val="both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Společnost Zlaťáky.cz</w:t>
      </w:r>
      <w:r w:rsidDel="00000000" w:rsidR="00000000" w:rsidRPr="00000000">
        <w:rPr>
          <w:sz w:val="20"/>
          <w:szCs w:val="20"/>
          <w:rtl w:val="0"/>
        </w:rPr>
        <w:t xml:space="preserve"> vznikla v roce 2006 a specializuje se na nákup a prodej investičního zlata, stříbra a numismatiky. Se vstupem nového majitele se rozrostla prodejní síť i sortiment zboží a poskytovaných služeb. Dynamický růst miliardové firmy podpořila modernizace e-shopu, vytvoření konsolidačního skladu, navýšení skladových zásob zlata i stříbra a otevření nových kamenných poboček. V současné době má společnost devět prodejen v Česku a na Slovensku.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line="276" w:lineRule="auto"/>
        <w:jc w:val="both"/>
        <w:rPr>
          <w:b w:val="1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line="331" w:lineRule="auto"/>
        <w:jc w:val="center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Kontakt pro média: </w:t>
      </w:r>
    </w:p>
    <w:p w:rsidR="00000000" w:rsidDel="00000000" w:rsidP="00000000" w:rsidRDefault="00000000" w:rsidRPr="00000000" w14:paraId="0000002D">
      <w:pPr>
        <w:spacing w:line="276" w:lineRule="auto"/>
        <w:jc w:val="center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line="331" w:lineRule="auto"/>
        <w:jc w:val="center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Dominika Bártová</w:t>
      </w:r>
    </w:p>
    <w:p w:rsidR="00000000" w:rsidDel="00000000" w:rsidP="00000000" w:rsidRDefault="00000000" w:rsidRPr="00000000" w14:paraId="0000002F">
      <w:pPr>
        <w:spacing w:line="331" w:lineRule="auto"/>
        <w:jc w:val="center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PR Manager Zlaťáky.cz</w:t>
      </w:r>
    </w:p>
    <w:p w:rsidR="00000000" w:rsidDel="00000000" w:rsidP="00000000" w:rsidRDefault="00000000" w:rsidRPr="00000000" w14:paraId="00000030">
      <w:pPr>
        <w:spacing w:line="331" w:lineRule="auto"/>
        <w:jc w:val="center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Tel.: 607 846 988</w:t>
      </w:r>
    </w:p>
    <w:p w:rsidR="00000000" w:rsidDel="00000000" w:rsidP="00000000" w:rsidRDefault="00000000" w:rsidRPr="00000000" w14:paraId="00000031">
      <w:pPr>
        <w:spacing w:line="331" w:lineRule="auto"/>
        <w:jc w:val="center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E-mail: </w:t>
      </w:r>
      <w:hyperlink r:id="rId8">
        <w:r w:rsidDel="00000000" w:rsidR="00000000" w:rsidRPr="00000000">
          <w:rPr>
            <w:color w:val="1155cc"/>
            <w:sz w:val="20"/>
            <w:szCs w:val="20"/>
            <w:u w:val="single"/>
            <w:rtl w:val="0"/>
          </w:rPr>
          <w:t xml:space="preserve">dominika.bartova@zlataky.cz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line="331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line="276" w:lineRule="auto"/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line="276" w:lineRule="auto"/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line="276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9" w:type="default"/>
      <w:footerReference r:id="rId10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9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8">
    <w:pPr>
      <w:rPr/>
    </w:pPr>
    <w:r w:rsidDel="00000000" w:rsidR="00000000" w:rsidRPr="00000000">
      <w:rPr/>
      <w:pict>
        <v:shape id="WordPictureWatermark1" style="position:absolute;width:596.1768503937008pt;height:843.3017322834646pt;rotation:0;z-index:-503316481;mso-position-horizontal-relative:margin;mso-position-horizontal:center;mso-position-vertical-relative:margin;mso-position-vertical:center;" alt="" type="#_x0000_t75">
          <v:imagedata cropbottom="0f" cropleft="0f" cropright="0f" croptop="0f" r:id="rId1" o:title="image2.jpg"/>
        </v:shape>
      </w:pic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c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Relationship Id="rId8" Type="http://schemas.openxmlformats.org/officeDocument/2006/relationships/hyperlink" Target="mailto:dominika.bartova@zlataky.cz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D7pJRZ/I9XcavEj6ICzpj9OE9Xw==">CgMxLjAyDmguYmN2cHRiNXZtempwMg5oLmIwOXBoazh2aHNuaTIOaC5mYnRnODBncWk2emo4AHIhMXMzdm9JMVAtWjVybEx2SUZCTy1QVmxLaUhMS1NaUDcz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