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76" w:lineRule="auto"/>
        <w:jc w:val="center"/>
        <w:rPr>
          <w:b w:val="1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u w:val="single"/>
          <w:rtl w:val="0"/>
        </w:rPr>
        <w:t xml:space="preserve">TZ: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Spolupráce ČNS a Zlaťáky.cz startuje výstavou přemyslovských mincí v Ostravě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Ostrava, 6. března 2025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color w:val="292929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Česká numismatická společnost (ČNS) a Zlaťáky.cz spojily síly, aby veřejnosti přiblížily historii a hodnotu historických mincí. Jejich spolupráci zahajuje výstava Mince Přemyslovců, která potrvá od 6. do 24. března v ostravské prodejně Zlaťáky.cz. Návštěvníci zde uvidí unikátní sbírku historických ražeb členů ČNS, včetně vzácných denárů, brakteátů a pražského groše.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Při pohledu na historická platidla si mnozí kladou otázku – kdo je kdysi držel v rukou? Mohlo jít o některého z přemyslovských knížat, či dokonce samotného krále? Odpověď zůstane navždy zahalena tajemstvím, avšak dochované mince nám umožňují alespoň na chvíli nahlédnout do minulosti, přiblížit se významným </w:t>
      </w:r>
      <w:r w:rsidDel="00000000" w:rsidR="00000000" w:rsidRPr="00000000">
        <w:rPr>
          <w:sz w:val="24"/>
          <w:szCs w:val="24"/>
          <w:rtl w:val="0"/>
        </w:rPr>
        <w:t xml:space="preserve">panovníkům</w:t>
      </w:r>
      <w:r w:rsidDel="00000000" w:rsidR="00000000" w:rsidRPr="00000000">
        <w:rPr>
          <w:sz w:val="24"/>
          <w:szCs w:val="24"/>
          <w:rtl w:val="0"/>
        </w:rPr>
        <w:t xml:space="preserve"> a nechat pracovat naši představivost. </w:t>
      </w:r>
      <w:r w:rsidDel="00000000" w:rsidR="00000000" w:rsidRPr="00000000">
        <w:rPr>
          <w:i w:val="1"/>
          <w:sz w:val="24"/>
          <w:szCs w:val="24"/>
          <w:rtl w:val="0"/>
        </w:rPr>
        <w:t xml:space="preserve">„Výstava je exkurzí do historie, která ukazuje, čím naši předkové platili a jak se mince v průběhu staletí </w:t>
      </w:r>
      <w:r w:rsidDel="00000000" w:rsidR="00000000" w:rsidRPr="00000000">
        <w:rPr>
          <w:i w:val="1"/>
          <w:sz w:val="24"/>
          <w:szCs w:val="24"/>
          <w:rtl w:val="0"/>
        </w:rPr>
        <w:t xml:space="preserve">proměňovaly</w:t>
      </w:r>
      <w:r w:rsidDel="00000000" w:rsidR="00000000" w:rsidRPr="00000000">
        <w:rPr>
          <w:i w:val="1"/>
          <w:sz w:val="24"/>
          <w:szCs w:val="24"/>
          <w:rtl w:val="0"/>
        </w:rPr>
        <w:t xml:space="preserve">. Tyto dochované kousky jsou posly z minulosti – historie na dosah ruky,“</w:t>
      </w:r>
      <w:r w:rsidDel="00000000" w:rsidR="00000000" w:rsidRPr="00000000">
        <w:rPr>
          <w:sz w:val="24"/>
          <w:szCs w:val="24"/>
          <w:rtl w:val="0"/>
        </w:rPr>
        <w:t xml:space="preserve"> říká analytik společnosti Zlaťáky.cz Jakub Petruška.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4186238" cy="2412997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6238" cy="2412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numPr>
          <w:ilvl w:val="0"/>
          <w:numId w:val="2"/>
        </w:numPr>
        <w:spacing w:before="280" w:line="276" w:lineRule="auto"/>
        <w:ind w:left="720" w:hanging="360"/>
        <w:jc w:val="both"/>
        <w:rPr>
          <w:b w:val="1"/>
          <w:sz w:val="24"/>
          <w:szCs w:val="24"/>
        </w:rPr>
      </w:pPr>
      <w:bookmarkStart w:colFirst="0" w:colLast="0" w:name="_heading=h.bcvptb5vmzjp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Denáry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První vládní mince na území Čech, Moravy a Slezska začala razit přemyslovská knížata, přičemž nejstarší ražby, známé jako denáry, byly vyrobeny ze stříbra. Jejich výroba </w:t>
      </w:r>
      <w:r w:rsidDel="00000000" w:rsidR="00000000" w:rsidRPr="00000000">
        <w:rPr>
          <w:sz w:val="24"/>
          <w:szCs w:val="24"/>
          <w:rtl w:val="0"/>
        </w:rPr>
        <w:t xml:space="preserve">započala</w:t>
      </w:r>
      <w:r w:rsidDel="00000000" w:rsidR="00000000" w:rsidRPr="00000000">
        <w:rPr>
          <w:sz w:val="24"/>
          <w:szCs w:val="24"/>
          <w:rtl w:val="0"/>
        </w:rPr>
        <w:t xml:space="preserve"> na sklonku vlády Boleslava I. (935–972) a zmiňuje se o nich i židovský kupec </w:t>
      </w:r>
      <w:r w:rsidDel="00000000" w:rsidR="00000000" w:rsidRPr="00000000">
        <w:rPr>
          <w:sz w:val="24"/>
          <w:szCs w:val="24"/>
          <w:rtl w:val="0"/>
        </w:rPr>
        <w:t xml:space="preserve">Ibráhím</w:t>
      </w:r>
      <w:r w:rsidDel="00000000" w:rsidR="00000000" w:rsidRPr="00000000">
        <w:rPr>
          <w:sz w:val="24"/>
          <w:szCs w:val="24"/>
          <w:rtl w:val="0"/>
        </w:rPr>
        <w:t xml:space="preserve"> ibn Jákub. V polovině 11. století snížil Břetislav I. jejich váhu a zmenšil průměr. Mince razili všichni vládnoucí Přemyslovci, ale známé jsou i ražby moravských údělných knížat z Brna, Olomouce a Znojma. Na denárech krále Vratislava I. se dokonce objevuje jeho portrét s královskou korunou. Denáry z 12. století pak patří mezi nejkrásnější evropské středověké ražby, vynikající bohatou ikonografií a mistrovským umělecko-řemeslným provedením.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3"/>
        </w:numPr>
        <w:spacing w:before="280" w:line="276" w:lineRule="auto"/>
        <w:ind w:left="720" w:hanging="360"/>
        <w:jc w:val="both"/>
        <w:rPr>
          <w:b w:val="1"/>
          <w:sz w:val="24"/>
          <w:szCs w:val="24"/>
        </w:rPr>
      </w:pPr>
      <w:bookmarkStart w:colFirst="0" w:colLast="0" w:name="_heading=h.b09phk8vhsni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Brakteáty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 13. století se změnila technologie ražby. Přemyslovští králové začali razit denáry ve formě brakteátů, tedy mincí z tenkého stříbrného plechu s vysokou ryzostí. Termín "brakteát" je moderní označení stejně jako jejich rozdělení na malé, střední a velké. Pro lidi té doby to byly stále denáry. Jejich technické provedení umožňovalo snadnou dělitelnost a skládání z více kusů do větších hodnot. Na brakteátu Přemysla Otakara II. se poprvé objevuje dvouocasý lev.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numPr>
          <w:ilvl w:val="0"/>
          <w:numId w:val="1"/>
        </w:numPr>
        <w:spacing w:before="280" w:line="276" w:lineRule="auto"/>
        <w:ind w:left="720" w:hanging="360"/>
        <w:jc w:val="both"/>
        <w:rPr>
          <w:b w:val="1"/>
          <w:sz w:val="24"/>
          <w:szCs w:val="24"/>
        </w:rPr>
      </w:pPr>
      <w:bookmarkStart w:colFirst="0" w:colLast="0" w:name="_heading=h.fbtg80gqi6zj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Pražské groše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roce 1300 provedl král Václav II. měnovou reformu a soustředil ražbu mincí do Kutné Hory, bohaté na naleziště stříbra. S těžbou a výrobou pomáhali odborníci ze severní Itálie, díky nimž se pražské groše staly uznávaným platidlem v celé Evropě. V českých zemích obíhaly i zahraniční mince, zejména během poručnictví Oty Braniborského nad Václavem II. Mince jeho syna, Václava III., posledního přemyslovského panovníka, nejsou známy, ale razil je v Uhrách. Poslední přemyslovské ražby pak vydával opavský vévoda Přemek II., potomek nemanželského syna Přemysla Otakara II.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„Výstava Mince Přemyslovců v kamenné prodejně Zlaťáky.cz propojuje historické dědictví s moderní numismatikou. Zatímco staré mince nabízejí jedinečný fyzický kontakt s minulostí, současné investiční a sběratelské ražby ukazují, že tradice mincovnictví nadále žije a vyvíjí se,“ </w:t>
      </w:r>
      <w:r w:rsidDel="00000000" w:rsidR="00000000" w:rsidRPr="00000000">
        <w:rPr>
          <w:sz w:val="24"/>
          <w:szCs w:val="24"/>
          <w:rtl w:val="0"/>
        </w:rPr>
        <w:t xml:space="preserve">doplňuje předseda České numismatické společnosti Michal Mašek.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2F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30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31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31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dominika.bartova@zlataky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7pJRZ/I9XcavEj6ICzpj9OE9Xw==">CgMxLjAyDmguYmN2cHRiNXZtempwMg5oLmIwOXBoazh2aHNuaTIOaC5mYnRnODBncWk2emo4AHIhMXMzdm9JMVAtWjVybEx2SUZCTy1QVmxLaUhMS1NaUDcz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