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56465" w14:textId="77777777" w:rsidR="00495769" w:rsidRDefault="00000000">
      <w:pPr>
        <w:spacing w:before="240" w:after="240"/>
        <w:jc w:val="center"/>
        <w:rPr>
          <w:rFonts w:ascii="Century Gothic" w:eastAsia="Century Gothic" w:hAnsi="Century Gothic" w:cs="Century Gothic"/>
          <w:b/>
          <w:bCs/>
          <w:sz w:val="28"/>
          <w:szCs w:val="28"/>
        </w:rPr>
      </w:pPr>
      <w:r>
        <w:rPr>
          <w:rFonts w:ascii="Century Gothic" w:eastAsia="Century Gothic" w:hAnsi="Century Gothic" w:cs="Century Gothic"/>
          <w:b/>
          <w:bCs/>
          <w:sz w:val="28"/>
          <w:szCs w:val="28"/>
        </w:rPr>
        <w:t>Titul mistra světa v míchání nealkoholických koktejlů zůstává v ČR. Mattoni Grand Drink vyhrál Jan Lukas</w:t>
      </w:r>
    </w:p>
    <w:p w14:paraId="3A9940F2" w14:textId="77777777" w:rsidR="00495769" w:rsidRPr="00C80ECA" w:rsidRDefault="00000000" w:rsidP="00C80ECA">
      <w:pPr>
        <w:spacing w:line="278" w:lineRule="auto"/>
        <w:jc w:val="right"/>
        <w:rPr>
          <w:rFonts w:ascii="Century Gothic" w:eastAsia="Century Gothic" w:hAnsi="Century Gothic" w:cs="Century Gothic"/>
        </w:rPr>
      </w:pPr>
      <w:r w:rsidRPr="00C80ECA">
        <w:rPr>
          <w:rFonts w:ascii="Century Gothic" w:eastAsia="Century Gothic" w:hAnsi="Century Gothic" w:cs="Century Gothic"/>
        </w:rPr>
        <w:t>2. května 2026</w:t>
      </w:r>
    </w:p>
    <w:p w14:paraId="245D5DFB" w14:textId="77777777" w:rsidR="00495769" w:rsidRPr="00C80ECA" w:rsidRDefault="00000000" w:rsidP="00C80ECA">
      <w:pPr>
        <w:spacing w:line="278" w:lineRule="auto"/>
        <w:jc w:val="both"/>
        <w:rPr>
          <w:rFonts w:ascii="Century Gothic" w:eastAsia="Century Gothic" w:hAnsi="Century Gothic" w:cs="Century Gothic"/>
          <w:b/>
          <w:bCs/>
        </w:rPr>
      </w:pPr>
      <w:r w:rsidRPr="00C80ECA">
        <w:rPr>
          <w:rFonts w:ascii="Century Gothic" w:eastAsia="Century Gothic" w:hAnsi="Century Gothic" w:cs="Century Gothic"/>
          <w:b/>
          <w:bCs/>
        </w:rPr>
        <w:t xml:space="preserve">Na 13. Mistrovství světa v míchání nealkoholických koktejlů Mattoni Grand Drink zvítězil Čech Jan Lukas. Mezinárodní porota ocenila jeho drink </w:t>
      </w:r>
      <w:proofErr w:type="spellStart"/>
      <w:r w:rsidRPr="00C80ECA">
        <w:rPr>
          <w:rFonts w:ascii="Century Gothic" w:eastAsia="Century Gothic" w:hAnsi="Century Gothic" w:cs="Century Gothic"/>
          <w:b/>
          <w:bCs/>
        </w:rPr>
        <w:t>The</w:t>
      </w:r>
      <w:proofErr w:type="spellEnd"/>
      <w:r w:rsidRPr="00C80ECA">
        <w:rPr>
          <w:rFonts w:ascii="Century Gothic" w:eastAsia="Century Gothic" w:hAnsi="Century Gothic" w:cs="Century Gothic"/>
          <w:b/>
          <w:bCs/>
        </w:rPr>
        <w:t xml:space="preserve"> </w:t>
      </w:r>
      <w:proofErr w:type="spellStart"/>
      <w:r w:rsidRPr="00C80ECA">
        <w:rPr>
          <w:rFonts w:ascii="Century Gothic" w:eastAsia="Century Gothic" w:hAnsi="Century Gothic" w:cs="Century Gothic"/>
          <w:b/>
          <w:bCs/>
        </w:rPr>
        <w:t>Nest</w:t>
      </w:r>
      <w:proofErr w:type="spellEnd"/>
      <w:r w:rsidRPr="00C80ECA">
        <w:rPr>
          <w:rFonts w:ascii="Century Gothic" w:eastAsia="Century Gothic" w:hAnsi="Century Gothic" w:cs="Century Gothic"/>
          <w:b/>
          <w:bCs/>
        </w:rPr>
        <w:t xml:space="preserve"> v konkurenci dalších devatenácti soutěžících z celého světa. Navázal tak na vítězství Martina Vogeltanze, který zabodoval v předcházejícím ročníku soutěže. Kromě titulu mistra světa s sebou vítězství přináší i finanční odměnu 10 000 dolarů.</w:t>
      </w:r>
    </w:p>
    <w:p w14:paraId="2CEB2666" w14:textId="77777777" w:rsidR="00495769" w:rsidRPr="00C80ECA" w:rsidRDefault="00000000" w:rsidP="00C80ECA">
      <w:pPr>
        <w:spacing w:line="278" w:lineRule="auto"/>
        <w:jc w:val="both"/>
        <w:rPr>
          <w:rFonts w:ascii="Century Gothic" w:eastAsia="Century Gothic" w:hAnsi="Century Gothic" w:cs="Century Gothic"/>
        </w:rPr>
      </w:pPr>
      <w:r w:rsidRPr="00C80ECA">
        <w:rPr>
          <w:rFonts w:ascii="Century Gothic" w:eastAsia="Century Gothic" w:hAnsi="Century Gothic" w:cs="Century Gothic"/>
          <w:b/>
          <w:bCs/>
        </w:rPr>
        <w:t>Jan Lukas z českobudějovického Café Datel se stal teprve čtvrtým Čechem</w:t>
      </w:r>
      <w:r w:rsidRPr="00C80ECA">
        <w:rPr>
          <w:rFonts w:ascii="Century Gothic" w:eastAsia="Century Gothic" w:hAnsi="Century Gothic" w:cs="Century Gothic"/>
        </w:rPr>
        <w:t xml:space="preserve">, kterému se za 26 let konání soutěže podařilo dosáhnout nejlepšího umístění. </w:t>
      </w:r>
      <w:r w:rsidRPr="00C80ECA">
        <w:rPr>
          <w:rFonts w:ascii="Century Gothic" w:eastAsia="Century Gothic" w:hAnsi="Century Gothic" w:cs="Century Gothic"/>
          <w:i/>
          <w:iCs/>
        </w:rPr>
        <w:t>„Je to fantastický pocit, který zatím ještě stále zpracovávám. Myslím, že mi to všechno naplno dojde až zítra během cesty autem. V hlavě je to zatím tak čerstvé, že si ten úspěch teprve postupně uvědomuji,“</w:t>
      </w:r>
      <w:r w:rsidRPr="00C80ECA">
        <w:rPr>
          <w:rFonts w:ascii="Century Gothic" w:eastAsia="Century Gothic" w:hAnsi="Century Gothic" w:cs="Century Gothic"/>
        </w:rPr>
        <w:t xml:space="preserve"> popsal své pocity čerstvý mistr světa </w:t>
      </w:r>
      <w:r w:rsidRPr="00C80ECA">
        <w:rPr>
          <w:rFonts w:ascii="Century Gothic" w:eastAsia="Century Gothic" w:hAnsi="Century Gothic" w:cs="Century Gothic"/>
          <w:b/>
          <w:bCs/>
        </w:rPr>
        <w:t>Jan Lukas</w:t>
      </w:r>
      <w:r w:rsidRPr="00C80ECA">
        <w:rPr>
          <w:rFonts w:ascii="Century Gothic" w:eastAsia="Century Gothic" w:hAnsi="Century Gothic" w:cs="Century Gothic"/>
        </w:rPr>
        <w:t xml:space="preserve">. </w:t>
      </w:r>
    </w:p>
    <w:p w14:paraId="542CE414" w14:textId="77777777" w:rsidR="00495769" w:rsidRPr="00C80ECA" w:rsidRDefault="00000000" w:rsidP="00C80ECA">
      <w:pPr>
        <w:spacing w:line="278" w:lineRule="auto"/>
        <w:jc w:val="both"/>
        <w:rPr>
          <w:rFonts w:ascii="Century Gothic" w:eastAsia="Century Gothic" w:hAnsi="Century Gothic" w:cs="Century Gothic"/>
          <w:i/>
          <w:iCs/>
        </w:rPr>
      </w:pPr>
      <w:r w:rsidRPr="00C80ECA">
        <w:rPr>
          <w:rFonts w:ascii="Century Gothic" w:eastAsia="Century Gothic" w:hAnsi="Century Gothic" w:cs="Century Gothic"/>
        </w:rPr>
        <w:t xml:space="preserve">Mistrovství světa v míchání nealkoholických koktejlů Mattoni Grand Drink patří k nejvýznamnějším událostem v oblasti nealkoholické </w:t>
      </w:r>
      <w:proofErr w:type="spellStart"/>
      <w:r w:rsidRPr="00C80ECA">
        <w:rPr>
          <w:rFonts w:ascii="Century Gothic" w:eastAsia="Century Gothic" w:hAnsi="Century Gothic" w:cs="Century Gothic"/>
        </w:rPr>
        <w:t>mixologie</w:t>
      </w:r>
      <w:proofErr w:type="spellEnd"/>
      <w:r w:rsidRPr="00C80ECA">
        <w:rPr>
          <w:rFonts w:ascii="Century Gothic" w:eastAsia="Century Gothic" w:hAnsi="Century Gothic" w:cs="Century Gothic"/>
        </w:rPr>
        <w:t xml:space="preserve">. Soutěžní drinky hodnotí </w:t>
      </w:r>
      <w:r w:rsidRPr="00C80ECA">
        <w:rPr>
          <w:rFonts w:ascii="Century Gothic" w:eastAsia="Century Gothic" w:hAnsi="Century Gothic" w:cs="Century Gothic"/>
          <w:b/>
          <w:bCs/>
        </w:rPr>
        <w:t>mezinárodní odborná porota</w:t>
      </w:r>
      <w:r w:rsidRPr="00C80ECA">
        <w:rPr>
          <w:rFonts w:ascii="Century Gothic" w:eastAsia="Century Gothic" w:hAnsi="Century Gothic" w:cs="Century Gothic"/>
        </w:rPr>
        <w:t xml:space="preserve"> složená z prezidentů jednotlivých členských států </w:t>
      </w:r>
      <w:r w:rsidRPr="00C80ECA">
        <w:rPr>
          <w:rFonts w:ascii="Century Gothic" w:eastAsia="Century Gothic" w:hAnsi="Century Gothic" w:cs="Century Gothic"/>
          <w:b/>
          <w:bCs/>
        </w:rPr>
        <w:t>Mezinárodní barmanské asociace IBA</w:t>
      </w:r>
      <w:r w:rsidRPr="00C80ECA">
        <w:rPr>
          <w:rFonts w:ascii="Century Gothic" w:eastAsia="Century Gothic" w:hAnsi="Century Gothic" w:cs="Century Gothic"/>
        </w:rPr>
        <w:t xml:space="preserve">, letos šlo například o zástupce Kuby, Polska, Německa, Slovenska, Lucemburska či Lotyšska. Při výběru se zaměřuje zejména na chuťovou harmonii, atraktivnost vzhledu a inovaci každého koktejlu. </w:t>
      </w:r>
    </w:p>
    <w:p w14:paraId="25C90660" w14:textId="4298AD9C" w:rsidR="00495769" w:rsidRPr="00C80ECA" w:rsidRDefault="00000000" w:rsidP="00C80ECA">
      <w:pPr>
        <w:spacing w:line="278" w:lineRule="auto"/>
        <w:jc w:val="both"/>
        <w:rPr>
          <w:rFonts w:ascii="Century Gothic" w:eastAsia="Century Gothic" w:hAnsi="Century Gothic" w:cs="Century Gothic"/>
          <w:b/>
          <w:bCs/>
        </w:rPr>
      </w:pPr>
      <w:r w:rsidRPr="00C80ECA">
        <w:rPr>
          <w:rFonts w:ascii="Century Gothic" w:eastAsia="Century Gothic" w:hAnsi="Century Gothic" w:cs="Century Gothic"/>
        </w:rPr>
        <w:t xml:space="preserve">Soutěžící měli za úkol připravit v časovém limitu šesti minut originální nealkoholický koktejl, který vynikne nejen chutí, ale zároveň musí splňovat limity pro zdravý životní styl včetně nízké kalorické hodnoty a obsahovat minerální vodu Mattoni. </w:t>
      </w:r>
      <w:r w:rsidRPr="00C80ECA">
        <w:rPr>
          <w:rFonts w:ascii="Century Gothic" w:eastAsia="Century Gothic" w:hAnsi="Century Gothic" w:cs="Century Gothic"/>
          <w:i/>
          <w:iCs/>
        </w:rPr>
        <w:t xml:space="preserve">„Soutěž Mattoni Grand Drink je pro nás skvělým vstupem do slunečné sezóny, ke které nealko drinky neodmyslitelně patří. Minerální voda Mattoni je skvělým základem osvěžujících koktejlů a soutěžící pokaždé dokazují, jak kreativní a chuťově pestré nápoje z ní dokážou vytvořit. Těší nás, že se s rostoucí oblibou nealkoholických drinků stále více potvrzuje, že nejde jen o alternativu k alkoholu, ale o plnohodnotný zážitek, který si lidé vybírají pro jeho chuť, kvalitu i estetiku,“ </w:t>
      </w:r>
      <w:r w:rsidRPr="00C80ECA">
        <w:rPr>
          <w:rFonts w:ascii="Century Gothic" w:eastAsia="Century Gothic" w:hAnsi="Century Gothic" w:cs="Century Gothic"/>
        </w:rPr>
        <w:t xml:space="preserve">uvedl </w:t>
      </w:r>
      <w:r w:rsidRPr="00C80ECA">
        <w:rPr>
          <w:rFonts w:ascii="Century Gothic" w:eastAsia="Century Gothic" w:hAnsi="Century Gothic" w:cs="Century Gothic"/>
          <w:b/>
          <w:bCs/>
        </w:rPr>
        <w:t>Tomáš Střeleček, Country Manager Mattoni 1873 pro Českou republiku.</w:t>
      </w:r>
    </w:p>
    <w:p w14:paraId="2C064567" w14:textId="77777777" w:rsidR="00495769" w:rsidRPr="00C80ECA" w:rsidRDefault="00000000" w:rsidP="00C80ECA">
      <w:pPr>
        <w:spacing w:line="278" w:lineRule="auto"/>
        <w:jc w:val="both"/>
        <w:rPr>
          <w:rFonts w:ascii="Century Gothic" w:eastAsia="Century Gothic" w:hAnsi="Century Gothic" w:cs="Century Gothic"/>
        </w:rPr>
      </w:pPr>
      <w:r w:rsidRPr="00C80ECA">
        <w:rPr>
          <w:rFonts w:ascii="Century Gothic" w:eastAsia="Century Gothic" w:hAnsi="Century Gothic" w:cs="Century Gothic"/>
        </w:rPr>
        <w:lastRenderedPageBreak/>
        <w:t xml:space="preserve">Nealkoholické drinky stále nabývají na popularitě v barech i na prestižních mezinárodních soutěžích a Mattoni dlouhodobě spolupracuje s profesionálními barmany na jejich tvorbě a propagaci. Nealkoholické koktejly, které vzejdou z Mistrovství světa v míchání nealkoholických koktejlů Mattoni Grand Drink, běžně udávají celosvětové trendy a dlouhodobě dokazují, že i drinky bez alkoholu mohou být chutné, originální a zábavné. </w:t>
      </w:r>
      <w:r w:rsidRPr="00C80ECA">
        <w:rPr>
          <w:rFonts w:ascii="Century Gothic" w:eastAsia="Century Gothic" w:hAnsi="Century Gothic" w:cs="Century Gothic"/>
          <w:i/>
          <w:iCs/>
        </w:rPr>
        <w:t xml:space="preserve">„Celosvětový boom nealkoholických drinků potvrzuje, že jsme s Mattoni Grand Drinkem před téměř třiceti lety, kdy soutěž začínala, předběhli dobu a snad jsme svou vytrvalou podporou této disciplíny k její dnešní popularitě i přispěli. Nealko koktejly už dávno nejsou jen doplňkem, ale staly se nedílnou součástí životního stylu, která si zaslouží své místo na slunci. Jsem hrdý, že naše soutěž zůstává i nadále klíčovým ambasadorem tohoto trendu a udává směr moderní </w:t>
      </w:r>
      <w:proofErr w:type="spellStart"/>
      <w:r w:rsidRPr="00C80ECA">
        <w:rPr>
          <w:rFonts w:ascii="Century Gothic" w:eastAsia="Century Gothic" w:hAnsi="Century Gothic" w:cs="Century Gothic"/>
          <w:i/>
          <w:iCs/>
        </w:rPr>
        <w:t>mixologie</w:t>
      </w:r>
      <w:proofErr w:type="spellEnd"/>
      <w:r w:rsidRPr="00C80ECA">
        <w:rPr>
          <w:rFonts w:ascii="Century Gothic" w:eastAsia="Century Gothic" w:hAnsi="Century Gothic" w:cs="Century Gothic"/>
          <w:i/>
          <w:iCs/>
        </w:rPr>
        <w:t>,”</w:t>
      </w:r>
      <w:r w:rsidRPr="00C80ECA">
        <w:rPr>
          <w:rFonts w:ascii="Century Gothic" w:eastAsia="Century Gothic" w:hAnsi="Century Gothic" w:cs="Century Gothic"/>
        </w:rPr>
        <w:t xml:space="preserve"> dodává </w:t>
      </w:r>
      <w:r w:rsidRPr="00C80ECA">
        <w:rPr>
          <w:rFonts w:ascii="Century Gothic" w:eastAsia="Century Gothic" w:hAnsi="Century Gothic" w:cs="Century Gothic"/>
          <w:b/>
          <w:bCs/>
        </w:rPr>
        <w:t>ředitel soutěže Mattoni Grand Drink Radek Poláček</w:t>
      </w:r>
      <w:r w:rsidRPr="00C80ECA">
        <w:rPr>
          <w:rFonts w:ascii="Century Gothic" w:eastAsia="Century Gothic" w:hAnsi="Century Gothic" w:cs="Century Gothic"/>
        </w:rPr>
        <w:t xml:space="preserve">. </w:t>
      </w:r>
    </w:p>
    <w:p w14:paraId="07A1408F" w14:textId="77777777" w:rsidR="00495769" w:rsidRPr="00C80ECA" w:rsidRDefault="00000000" w:rsidP="00C80ECA">
      <w:pPr>
        <w:spacing w:line="278" w:lineRule="auto"/>
        <w:jc w:val="both"/>
        <w:rPr>
          <w:rFonts w:ascii="Century Gothic" w:eastAsia="Century Gothic" w:hAnsi="Century Gothic" w:cs="Century Gothic"/>
          <w:b/>
          <w:bCs/>
        </w:rPr>
      </w:pPr>
      <w:r w:rsidRPr="00C80ECA">
        <w:rPr>
          <w:rFonts w:ascii="Century Gothic" w:eastAsia="Century Gothic" w:hAnsi="Century Gothic" w:cs="Century Gothic"/>
        </w:rPr>
        <w:t xml:space="preserve">Název vítězného koktejlu </w:t>
      </w:r>
      <w:proofErr w:type="spellStart"/>
      <w:r w:rsidRPr="00C80ECA">
        <w:rPr>
          <w:rFonts w:ascii="Century Gothic" w:eastAsia="Century Gothic" w:hAnsi="Century Gothic" w:cs="Century Gothic"/>
        </w:rPr>
        <w:t>The</w:t>
      </w:r>
      <w:proofErr w:type="spellEnd"/>
      <w:r w:rsidRPr="00C80ECA">
        <w:rPr>
          <w:rFonts w:ascii="Century Gothic" w:eastAsia="Century Gothic" w:hAnsi="Century Gothic" w:cs="Century Gothic"/>
        </w:rPr>
        <w:t xml:space="preserve"> </w:t>
      </w:r>
      <w:proofErr w:type="spellStart"/>
      <w:r w:rsidRPr="00C80ECA">
        <w:rPr>
          <w:rFonts w:ascii="Century Gothic" w:eastAsia="Century Gothic" w:hAnsi="Century Gothic" w:cs="Century Gothic"/>
        </w:rPr>
        <w:t>Nest</w:t>
      </w:r>
      <w:proofErr w:type="spellEnd"/>
      <w:r w:rsidRPr="00C80ECA">
        <w:rPr>
          <w:rFonts w:ascii="Century Gothic" w:eastAsia="Century Gothic" w:hAnsi="Century Gothic" w:cs="Century Gothic"/>
        </w:rPr>
        <w:t xml:space="preserve"> (v překladu Hnízdo) odkazuje na Českou republiku a Karlovy Vary, odkud pochází Mattoni. Je to symbolické hnízdo červeného orla, který značku zdobí. Při výběru surovin se inspiroval zdravým životním stylem, který Mattoni dlouhodobě podporuje. Každá ingredience má tělu něco přinést, ať už jde o hloubkovou hydrataci, nebo regeneraci po výkonu. Ve svém receptu proto využil tropické aloe vera i lokální řapíkatý celer.</w:t>
      </w:r>
    </w:p>
    <w:p w14:paraId="50367402" w14:textId="77777777" w:rsidR="00495769" w:rsidRPr="00C80ECA" w:rsidRDefault="00000000" w:rsidP="00C80ECA">
      <w:pPr>
        <w:spacing w:line="278" w:lineRule="auto"/>
        <w:jc w:val="both"/>
        <w:rPr>
          <w:rFonts w:ascii="Century Gothic" w:eastAsia="Century Gothic" w:hAnsi="Century Gothic" w:cs="Century Gothic"/>
        </w:rPr>
      </w:pPr>
      <w:r w:rsidRPr="00C80ECA">
        <w:rPr>
          <w:rFonts w:ascii="Century Gothic" w:eastAsia="Century Gothic" w:hAnsi="Century Gothic" w:cs="Century Gothic"/>
        </w:rPr>
        <w:t xml:space="preserve">Finále mezinárodní barmanské soutěže Mattoni Grand Drink 2026 se uskutečnilo v sobotu 2. května u hotelu </w:t>
      </w:r>
      <w:proofErr w:type="spellStart"/>
      <w:r w:rsidRPr="00C80ECA">
        <w:rPr>
          <w:rFonts w:ascii="Century Gothic" w:eastAsia="Century Gothic" w:hAnsi="Century Gothic" w:cs="Century Gothic"/>
        </w:rPr>
        <w:t>Thermal</w:t>
      </w:r>
      <w:proofErr w:type="spellEnd"/>
      <w:r w:rsidRPr="00C80ECA">
        <w:rPr>
          <w:rFonts w:ascii="Century Gothic" w:eastAsia="Century Gothic" w:hAnsi="Century Gothic" w:cs="Century Gothic"/>
        </w:rPr>
        <w:t xml:space="preserve"> v Karlových Varech. O titul mistra světa zde usilovalo dvacet špičkových barmanů z celého světa včetně exotických zemí, jako jsou Kuba, Portoriko či Uruguay. Kromě excelentních barmanských show si diváci užili také doprovodný program – koncerty houslistky </w:t>
      </w:r>
      <w:proofErr w:type="spellStart"/>
      <w:r w:rsidRPr="00C80ECA">
        <w:rPr>
          <w:rFonts w:ascii="Century Gothic" w:eastAsia="Century Gothic" w:hAnsi="Century Gothic" w:cs="Century Gothic"/>
        </w:rPr>
        <w:t>Kasperlin</w:t>
      </w:r>
      <w:proofErr w:type="spellEnd"/>
      <w:r w:rsidRPr="00C80ECA">
        <w:rPr>
          <w:rFonts w:ascii="Century Gothic" w:eastAsia="Century Gothic" w:hAnsi="Century Gothic" w:cs="Century Gothic"/>
        </w:rPr>
        <w:t xml:space="preserve"> a zpěvačky KAYA, vítězky Mattoni Music Talent 2025,  a </w:t>
      </w:r>
      <w:proofErr w:type="spellStart"/>
      <w:r w:rsidRPr="00C80ECA">
        <w:rPr>
          <w:rFonts w:ascii="Century Gothic" w:eastAsia="Century Gothic" w:hAnsi="Century Gothic" w:cs="Century Gothic"/>
        </w:rPr>
        <w:t>flair</w:t>
      </w:r>
      <w:proofErr w:type="spellEnd"/>
      <w:r w:rsidRPr="00C80ECA">
        <w:rPr>
          <w:rFonts w:ascii="Century Gothic" w:eastAsia="Century Gothic" w:hAnsi="Century Gothic" w:cs="Century Gothic"/>
        </w:rPr>
        <w:t xml:space="preserve"> show předešlého mistra světa Mattoni Grand Drink 2024 Martina Vogeltanze. Celým dnem provázel moderátor Libor Bouček.</w:t>
      </w:r>
    </w:p>
    <w:p w14:paraId="698A5C46" w14:textId="26D5C290" w:rsidR="00C80ECA" w:rsidRPr="00C80ECA" w:rsidRDefault="00000000" w:rsidP="00C80ECA">
      <w:pPr>
        <w:spacing w:after="240" w:line="278" w:lineRule="auto"/>
        <w:jc w:val="both"/>
        <w:rPr>
          <w:rFonts w:ascii="Century Gothic" w:eastAsia="Century Gothic" w:hAnsi="Century Gothic" w:cs="Century Gothic"/>
        </w:rPr>
      </w:pPr>
      <w:r w:rsidRPr="00C80ECA">
        <w:rPr>
          <w:rFonts w:ascii="Century Gothic" w:eastAsia="Century Gothic" w:hAnsi="Century Gothic" w:cs="Century Gothic"/>
          <w:b/>
          <w:bCs/>
        </w:rPr>
        <w:t>Vybrané soutěžní koktejly z letošního ročníku Mattoni Grand Drink budou návštěvníci Karlových Varů moci ochutnat i v rámci Mezinárodního filmového festivalu Karlovy Vary 2026, který se bude konat od 3. do 11. července.</w:t>
      </w:r>
    </w:p>
    <w:p w14:paraId="5B32901B" w14:textId="77777777" w:rsidR="00C80ECA" w:rsidRDefault="00C80ECA">
      <w:pPr>
        <w:rPr>
          <w:rFonts w:ascii="Century Gothic" w:hAnsi="Century Gothic"/>
          <w:b/>
          <w:bCs/>
          <w:u w:val="single"/>
        </w:rPr>
      </w:pPr>
      <w:r>
        <w:rPr>
          <w:rFonts w:ascii="Century Gothic" w:hAnsi="Century Gothic"/>
          <w:b/>
          <w:bCs/>
          <w:u w:val="single"/>
        </w:rPr>
        <w:br w:type="page"/>
      </w:r>
    </w:p>
    <w:p w14:paraId="7E1EFD03" w14:textId="0CDB7C0C" w:rsidR="00495769" w:rsidRPr="00C80ECA" w:rsidRDefault="00000000">
      <w:pPr>
        <w:spacing w:line="259" w:lineRule="auto"/>
        <w:rPr>
          <w:rFonts w:ascii="Century Gothic" w:hAnsi="Century Gothic"/>
        </w:rPr>
      </w:pPr>
      <w:r w:rsidRPr="00C80ECA">
        <w:rPr>
          <w:rFonts w:ascii="Century Gothic" w:hAnsi="Century Gothic"/>
          <w:b/>
          <w:bCs/>
          <w:u w:val="single"/>
        </w:rPr>
        <w:lastRenderedPageBreak/>
        <w:t>Výsledková listina Mattoni Grand Drink 2026:</w:t>
      </w:r>
    </w:p>
    <w:p w14:paraId="05DD5733" w14:textId="77777777" w:rsidR="00495769" w:rsidRPr="00C80ECA" w:rsidRDefault="00000000">
      <w:pPr>
        <w:spacing w:line="259" w:lineRule="auto"/>
        <w:rPr>
          <w:rFonts w:ascii="Century Gothic" w:hAnsi="Century Gothic"/>
        </w:rPr>
      </w:pPr>
      <w:r w:rsidRPr="00C80ECA">
        <w:rPr>
          <w:rFonts w:ascii="Century Gothic" w:hAnsi="Century Gothic"/>
        </w:rPr>
        <w:t xml:space="preserve">1. místo Jan Lukas, Česká republika, </w:t>
      </w:r>
      <w:proofErr w:type="spellStart"/>
      <w:r w:rsidRPr="00C80ECA">
        <w:rPr>
          <w:rFonts w:ascii="Century Gothic" w:hAnsi="Century Gothic"/>
        </w:rPr>
        <w:t>The</w:t>
      </w:r>
      <w:proofErr w:type="spellEnd"/>
      <w:r w:rsidRPr="00C80ECA">
        <w:rPr>
          <w:rFonts w:ascii="Century Gothic" w:hAnsi="Century Gothic"/>
        </w:rPr>
        <w:t xml:space="preserve"> </w:t>
      </w:r>
      <w:proofErr w:type="spellStart"/>
      <w:r w:rsidRPr="00C80ECA">
        <w:rPr>
          <w:rFonts w:ascii="Century Gothic" w:hAnsi="Century Gothic"/>
        </w:rPr>
        <w:t>Nest</w:t>
      </w:r>
      <w:proofErr w:type="spellEnd"/>
      <w:r w:rsidRPr="00C80ECA">
        <w:rPr>
          <w:rFonts w:ascii="Century Gothic" w:hAnsi="Century Gothic"/>
        </w:rPr>
        <w:t>: odměna 10 000 dolarů</w:t>
      </w:r>
    </w:p>
    <w:p w14:paraId="176703CA" w14:textId="77777777" w:rsidR="00495769" w:rsidRPr="00C80ECA" w:rsidRDefault="00000000">
      <w:pPr>
        <w:spacing w:line="259" w:lineRule="auto"/>
        <w:rPr>
          <w:rFonts w:ascii="Century Gothic" w:hAnsi="Century Gothic"/>
        </w:rPr>
      </w:pPr>
      <w:r w:rsidRPr="00C80ECA">
        <w:rPr>
          <w:rFonts w:ascii="Century Gothic" w:hAnsi="Century Gothic"/>
        </w:rPr>
        <w:t xml:space="preserve">2. místo Laur </w:t>
      </w:r>
      <w:proofErr w:type="spellStart"/>
      <w:r w:rsidRPr="00C80ECA">
        <w:rPr>
          <w:rFonts w:ascii="Century Gothic" w:hAnsi="Century Gothic"/>
        </w:rPr>
        <w:t>Ihermann</w:t>
      </w:r>
      <w:proofErr w:type="spellEnd"/>
      <w:r w:rsidRPr="00C80ECA">
        <w:rPr>
          <w:rFonts w:ascii="Century Gothic" w:hAnsi="Century Gothic"/>
        </w:rPr>
        <w:t xml:space="preserve">, Estonsko, </w:t>
      </w:r>
      <w:proofErr w:type="spellStart"/>
      <w:r w:rsidRPr="00C80ECA">
        <w:rPr>
          <w:rFonts w:ascii="Century Gothic" w:hAnsi="Century Gothic"/>
        </w:rPr>
        <w:t>Be</w:t>
      </w:r>
      <w:proofErr w:type="spellEnd"/>
      <w:r w:rsidRPr="00C80ECA">
        <w:rPr>
          <w:rFonts w:ascii="Century Gothic" w:hAnsi="Century Gothic"/>
        </w:rPr>
        <w:t xml:space="preserve"> </w:t>
      </w:r>
      <w:proofErr w:type="spellStart"/>
      <w:r w:rsidRPr="00C80ECA">
        <w:rPr>
          <w:rFonts w:ascii="Century Gothic" w:hAnsi="Century Gothic"/>
        </w:rPr>
        <w:t>The</w:t>
      </w:r>
      <w:proofErr w:type="spellEnd"/>
      <w:r w:rsidRPr="00C80ECA">
        <w:rPr>
          <w:rFonts w:ascii="Century Gothic" w:hAnsi="Century Gothic"/>
        </w:rPr>
        <w:t xml:space="preserve"> </w:t>
      </w:r>
      <w:proofErr w:type="spellStart"/>
      <w:r w:rsidRPr="00C80ECA">
        <w:rPr>
          <w:rFonts w:ascii="Century Gothic" w:hAnsi="Century Gothic"/>
        </w:rPr>
        <w:t>Storm</w:t>
      </w:r>
      <w:proofErr w:type="spellEnd"/>
      <w:r w:rsidRPr="00C80ECA">
        <w:rPr>
          <w:rFonts w:ascii="Century Gothic" w:hAnsi="Century Gothic"/>
        </w:rPr>
        <w:t>: odměna 3 000 dolarů</w:t>
      </w:r>
    </w:p>
    <w:p w14:paraId="66092210" w14:textId="77777777" w:rsidR="00495769" w:rsidRPr="00C80ECA" w:rsidRDefault="00000000">
      <w:pPr>
        <w:spacing w:line="259" w:lineRule="auto"/>
        <w:rPr>
          <w:rFonts w:ascii="Century Gothic" w:hAnsi="Century Gothic"/>
        </w:rPr>
      </w:pPr>
      <w:r w:rsidRPr="00C80ECA">
        <w:rPr>
          <w:rFonts w:ascii="Century Gothic" w:hAnsi="Century Gothic"/>
        </w:rPr>
        <w:t xml:space="preserve">3. místo Michael Duc, Švýcarsko, </w:t>
      </w:r>
      <w:proofErr w:type="spellStart"/>
      <w:r w:rsidRPr="00C80ECA">
        <w:rPr>
          <w:rFonts w:ascii="Century Gothic" w:eastAsia="Century Gothic" w:hAnsi="Century Gothic" w:cs="Century Gothic"/>
        </w:rPr>
        <w:t>Tales</w:t>
      </w:r>
      <w:proofErr w:type="spellEnd"/>
      <w:r w:rsidRPr="00C80ECA">
        <w:rPr>
          <w:rFonts w:ascii="Century Gothic" w:eastAsia="Century Gothic" w:hAnsi="Century Gothic" w:cs="Century Gothic"/>
        </w:rPr>
        <w:t xml:space="preserve"> </w:t>
      </w:r>
      <w:proofErr w:type="spellStart"/>
      <w:r w:rsidRPr="00C80ECA">
        <w:rPr>
          <w:rFonts w:ascii="Century Gothic" w:eastAsia="Century Gothic" w:hAnsi="Century Gothic" w:cs="Century Gothic"/>
        </w:rPr>
        <w:t>of</w:t>
      </w:r>
      <w:proofErr w:type="spellEnd"/>
      <w:r w:rsidRPr="00C80ECA">
        <w:rPr>
          <w:rFonts w:ascii="Century Gothic" w:eastAsia="Century Gothic" w:hAnsi="Century Gothic" w:cs="Century Gothic"/>
        </w:rPr>
        <w:t xml:space="preserve"> Helena</w:t>
      </w:r>
      <w:r w:rsidRPr="00C80ECA">
        <w:rPr>
          <w:rFonts w:ascii="Century Gothic" w:hAnsi="Century Gothic"/>
        </w:rPr>
        <w:t>: odměna 2 000 dolarů</w:t>
      </w:r>
    </w:p>
    <w:p w14:paraId="076CBD2C" w14:textId="77777777" w:rsidR="00495769" w:rsidRPr="00C80ECA" w:rsidRDefault="00000000">
      <w:pPr>
        <w:spacing w:after="120"/>
        <w:jc w:val="both"/>
        <w:rPr>
          <w:rFonts w:ascii="Century Gothic" w:eastAsia="Century Gothic" w:hAnsi="Century Gothic" w:cs="Century Gothic"/>
          <w:b/>
          <w:bCs/>
          <w:u w:val="single"/>
        </w:rPr>
      </w:pPr>
      <w:r w:rsidRPr="00C80ECA">
        <w:rPr>
          <w:rFonts w:ascii="Century Gothic" w:eastAsia="Century Gothic" w:hAnsi="Century Gothic" w:cs="Century Gothic"/>
          <w:b/>
          <w:bCs/>
          <w:u w:val="single"/>
        </w:rPr>
        <w:t xml:space="preserve">Recept na koktejl </w:t>
      </w:r>
      <w:proofErr w:type="spellStart"/>
      <w:r w:rsidRPr="00C80ECA">
        <w:rPr>
          <w:rFonts w:ascii="Century Gothic" w:eastAsia="Century Gothic" w:hAnsi="Century Gothic" w:cs="Century Gothic"/>
          <w:b/>
          <w:bCs/>
          <w:u w:val="single"/>
        </w:rPr>
        <w:t>The</w:t>
      </w:r>
      <w:proofErr w:type="spellEnd"/>
      <w:r w:rsidRPr="00C80ECA">
        <w:rPr>
          <w:rFonts w:ascii="Century Gothic" w:eastAsia="Century Gothic" w:hAnsi="Century Gothic" w:cs="Century Gothic"/>
          <w:b/>
          <w:bCs/>
          <w:u w:val="single"/>
        </w:rPr>
        <w:t xml:space="preserve"> </w:t>
      </w:r>
      <w:proofErr w:type="spellStart"/>
      <w:r w:rsidRPr="00C80ECA">
        <w:rPr>
          <w:rFonts w:ascii="Century Gothic" w:eastAsia="Century Gothic" w:hAnsi="Century Gothic" w:cs="Century Gothic"/>
          <w:b/>
          <w:bCs/>
          <w:u w:val="single"/>
        </w:rPr>
        <w:t>Nest</w:t>
      </w:r>
      <w:proofErr w:type="spellEnd"/>
      <w:r w:rsidRPr="00C80ECA">
        <w:rPr>
          <w:rFonts w:ascii="Century Gothic" w:eastAsia="Century Gothic" w:hAnsi="Century Gothic" w:cs="Century Gothic"/>
          <w:b/>
          <w:bCs/>
          <w:u w:val="single"/>
        </w:rPr>
        <w:t xml:space="preserve"> od Jana Lukase:</w:t>
      </w:r>
    </w:p>
    <w:p w14:paraId="71A1F009" w14:textId="77777777" w:rsidR="00495769" w:rsidRPr="00C80ECA" w:rsidRDefault="00000000">
      <w:pPr>
        <w:spacing w:after="120"/>
        <w:jc w:val="both"/>
        <w:rPr>
          <w:rFonts w:ascii="Century Gothic" w:eastAsia="Century Gothic" w:hAnsi="Century Gothic" w:cs="Century Gothic"/>
          <w:i/>
          <w:iCs/>
          <w:u w:val="single"/>
        </w:rPr>
      </w:pPr>
      <w:r w:rsidRPr="00C80ECA">
        <w:rPr>
          <w:rFonts w:ascii="Century Gothic" w:eastAsia="Century Gothic" w:hAnsi="Century Gothic" w:cs="Century Gothic"/>
          <w:i/>
          <w:iCs/>
          <w:u w:val="single"/>
        </w:rPr>
        <w:t xml:space="preserve">Ingredience: </w:t>
      </w:r>
    </w:p>
    <w:p w14:paraId="6C828C2B" w14:textId="77777777" w:rsidR="00495769" w:rsidRPr="00C80ECA" w:rsidRDefault="00000000">
      <w:pPr>
        <w:numPr>
          <w:ilvl w:val="0"/>
          <w:numId w:val="1"/>
        </w:numPr>
        <w:shd w:val="clear" w:color="auto" w:fill="FFFFFF"/>
        <w:spacing w:before="200" w:after="0"/>
        <w:rPr>
          <w:rFonts w:ascii="Century Gothic" w:eastAsia="Century Gothic" w:hAnsi="Century Gothic" w:cs="Century Gothic"/>
        </w:rPr>
      </w:pPr>
      <w:r w:rsidRPr="00C80ECA">
        <w:rPr>
          <w:rFonts w:ascii="Century Gothic" w:eastAsia="Century Gothic" w:hAnsi="Century Gothic" w:cs="Century Gothic"/>
        </w:rPr>
        <w:t>Mattoni perlivá 10 cl</w:t>
      </w:r>
    </w:p>
    <w:p w14:paraId="6748340C" w14:textId="77777777" w:rsidR="00495769" w:rsidRPr="00C80ECA" w:rsidRDefault="00000000">
      <w:pPr>
        <w:numPr>
          <w:ilvl w:val="0"/>
          <w:numId w:val="1"/>
        </w:numPr>
        <w:spacing w:after="0"/>
        <w:rPr>
          <w:rFonts w:ascii="Century Gothic" w:eastAsia="Century Gothic" w:hAnsi="Century Gothic" w:cs="Century Gothic"/>
        </w:rPr>
      </w:pPr>
      <w:r w:rsidRPr="00C80ECA">
        <w:rPr>
          <w:rFonts w:ascii="Century Gothic" w:eastAsia="Century Gothic" w:hAnsi="Century Gothic" w:cs="Century Gothic"/>
        </w:rPr>
        <w:t>Aloe vera 3 cl</w:t>
      </w:r>
    </w:p>
    <w:p w14:paraId="580195E3" w14:textId="77777777" w:rsidR="00495769" w:rsidRPr="00C80ECA" w:rsidRDefault="00000000">
      <w:pPr>
        <w:numPr>
          <w:ilvl w:val="0"/>
          <w:numId w:val="1"/>
        </w:numPr>
        <w:spacing w:after="0"/>
        <w:rPr>
          <w:rFonts w:ascii="Century Gothic" w:eastAsia="Century Gothic" w:hAnsi="Century Gothic" w:cs="Century Gothic"/>
        </w:rPr>
      </w:pPr>
      <w:r w:rsidRPr="00C80ECA">
        <w:rPr>
          <w:rFonts w:ascii="Century Gothic" w:eastAsia="Century Gothic" w:hAnsi="Century Gothic" w:cs="Century Gothic"/>
        </w:rPr>
        <w:t xml:space="preserve">Paragon </w:t>
      </w:r>
      <w:proofErr w:type="spellStart"/>
      <w:r w:rsidRPr="00C80ECA">
        <w:rPr>
          <w:rFonts w:ascii="Century Gothic" w:eastAsia="Century Gothic" w:hAnsi="Century Gothic" w:cs="Century Gothic"/>
        </w:rPr>
        <w:t>cordial</w:t>
      </w:r>
      <w:proofErr w:type="spellEnd"/>
      <w:r w:rsidRPr="00C80ECA">
        <w:rPr>
          <w:rFonts w:ascii="Century Gothic" w:eastAsia="Century Gothic" w:hAnsi="Century Gothic" w:cs="Century Gothic"/>
        </w:rPr>
        <w:t xml:space="preserve"> </w:t>
      </w:r>
      <w:proofErr w:type="spellStart"/>
      <w:r w:rsidRPr="00C80ECA">
        <w:rPr>
          <w:rFonts w:ascii="Century Gothic" w:eastAsia="Century Gothic" w:hAnsi="Century Gothic" w:cs="Century Gothic"/>
        </w:rPr>
        <w:t>Rue</w:t>
      </w:r>
      <w:proofErr w:type="spellEnd"/>
      <w:r w:rsidRPr="00C80ECA">
        <w:rPr>
          <w:rFonts w:ascii="Century Gothic" w:eastAsia="Century Gothic" w:hAnsi="Century Gothic" w:cs="Century Gothic"/>
        </w:rPr>
        <w:t xml:space="preserve"> </w:t>
      </w:r>
      <w:proofErr w:type="spellStart"/>
      <w:r w:rsidRPr="00C80ECA">
        <w:rPr>
          <w:rFonts w:ascii="Century Gothic" w:eastAsia="Century Gothic" w:hAnsi="Century Gothic" w:cs="Century Gothic"/>
        </w:rPr>
        <w:t>Berry</w:t>
      </w:r>
      <w:proofErr w:type="spellEnd"/>
      <w:r w:rsidRPr="00C80ECA">
        <w:rPr>
          <w:rFonts w:ascii="Century Gothic" w:eastAsia="Century Gothic" w:hAnsi="Century Gothic" w:cs="Century Gothic"/>
        </w:rPr>
        <w:t xml:space="preserve"> 2 cl</w:t>
      </w:r>
    </w:p>
    <w:p w14:paraId="4FE00406" w14:textId="77777777" w:rsidR="00495769" w:rsidRPr="00C80ECA" w:rsidRDefault="00000000">
      <w:pPr>
        <w:numPr>
          <w:ilvl w:val="0"/>
          <w:numId w:val="1"/>
        </w:numPr>
        <w:spacing w:after="0"/>
        <w:rPr>
          <w:rFonts w:ascii="Century Gothic" w:eastAsia="Century Gothic" w:hAnsi="Century Gothic" w:cs="Century Gothic"/>
        </w:rPr>
      </w:pPr>
      <w:r w:rsidRPr="00C80ECA">
        <w:rPr>
          <w:rFonts w:ascii="Century Gothic" w:eastAsia="Century Gothic" w:hAnsi="Century Gothic" w:cs="Century Gothic"/>
        </w:rPr>
        <w:t>Řapíkatý celer 15 g</w:t>
      </w:r>
    </w:p>
    <w:p w14:paraId="60073CDC" w14:textId="77777777" w:rsidR="00495769" w:rsidRPr="00C80ECA" w:rsidRDefault="00000000">
      <w:pPr>
        <w:numPr>
          <w:ilvl w:val="0"/>
          <w:numId w:val="1"/>
        </w:numPr>
        <w:spacing w:after="200"/>
        <w:rPr>
          <w:rFonts w:ascii="Century Gothic" w:eastAsia="Century Gothic" w:hAnsi="Century Gothic" w:cs="Century Gothic"/>
        </w:rPr>
      </w:pPr>
      <w:proofErr w:type="spellStart"/>
      <w:r w:rsidRPr="00C80ECA">
        <w:rPr>
          <w:rFonts w:ascii="Century Gothic" w:eastAsia="Century Gothic" w:hAnsi="Century Gothic" w:cs="Century Gothic"/>
        </w:rPr>
        <w:t>Sosa</w:t>
      </w:r>
      <w:proofErr w:type="spellEnd"/>
      <w:r w:rsidRPr="00C80ECA">
        <w:rPr>
          <w:rFonts w:ascii="Century Gothic" w:eastAsia="Century Gothic" w:hAnsi="Century Gothic" w:cs="Century Gothic"/>
        </w:rPr>
        <w:t xml:space="preserve"> aroma zelené jablko </w:t>
      </w:r>
    </w:p>
    <w:p w14:paraId="10B6A63B" w14:textId="77777777" w:rsidR="00495769" w:rsidRPr="00C80ECA" w:rsidRDefault="00000000">
      <w:pPr>
        <w:shd w:val="clear" w:color="auto" w:fill="FFFFFF"/>
        <w:spacing w:after="0"/>
        <w:rPr>
          <w:rFonts w:ascii="Century Gothic" w:eastAsia="Century Gothic" w:hAnsi="Century Gothic" w:cs="Century Gothic"/>
        </w:rPr>
      </w:pPr>
      <w:r w:rsidRPr="00C80ECA">
        <w:rPr>
          <w:rFonts w:ascii="Century Gothic" w:eastAsia="Century Gothic" w:hAnsi="Century Gothic" w:cs="Century Gothic"/>
          <w:i/>
          <w:iCs/>
          <w:u w:val="single"/>
        </w:rPr>
        <w:t>Ozdoba:</w:t>
      </w:r>
      <w:r w:rsidRPr="00C80ECA">
        <w:rPr>
          <w:rFonts w:ascii="Century Gothic" w:eastAsia="Century Gothic" w:hAnsi="Century Gothic" w:cs="Century Gothic"/>
        </w:rPr>
        <w:t xml:space="preserve"> Listy řapíkatého celeru</w:t>
      </w:r>
    </w:p>
    <w:p w14:paraId="4A13E4E6" w14:textId="77777777" w:rsidR="00495769" w:rsidRPr="00C80ECA" w:rsidRDefault="00000000">
      <w:pPr>
        <w:spacing w:after="0"/>
        <w:rPr>
          <w:rFonts w:ascii="Century Gothic" w:hAnsi="Century Gothic"/>
          <w:i/>
          <w:iCs/>
          <w:u w:val="single"/>
        </w:rPr>
      </w:pPr>
      <w:r w:rsidRPr="00C80ECA">
        <w:rPr>
          <w:rFonts w:ascii="Century Gothic" w:eastAsia="Century Gothic" w:hAnsi="Century Gothic" w:cs="Century Gothic"/>
          <w:i/>
          <w:iCs/>
          <w:u w:val="single"/>
        </w:rPr>
        <w:t>Postup přípravy</w:t>
      </w:r>
      <w:r w:rsidRPr="00C80ECA">
        <w:rPr>
          <w:rFonts w:ascii="Century Gothic" w:eastAsia="Century Gothic" w:hAnsi="Century Gothic" w:cs="Century Gothic"/>
          <w:i/>
          <w:iCs/>
        </w:rPr>
        <w:t xml:space="preserve">: Do </w:t>
      </w:r>
      <w:proofErr w:type="spellStart"/>
      <w:r w:rsidRPr="00C80ECA">
        <w:rPr>
          <w:rFonts w:ascii="Century Gothic" w:eastAsia="Century Gothic" w:hAnsi="Century Gothic" w:cs="Century Gothic"/>
          <w:i/>
          <w:iCs/>
        </w:rPr>
        <w:t>shakeru</w:t>
      </w:r>
      <w:proofErr w:type="spellEnd"/>
      <w:r w:rsidRPr="00C80ECA">
        <w:rPr>
          <w:rFonts w:ascii="Century Gothic" w:eastAsia="Century Gothic" w:hAnsi="Century Gothic" w:cs="Century Gothic"/>
          <w:i/>
          <w:iCs/>
        </w:rPr>
        <w:t xml:space="preserve"> dáme nakrájený řapíkatý celer a odměříme aloe vera a </w:t>
      </w:r>
      <w:proofErr w:type="spellStart"/>
      <w:r w:rsidRPr="00C80ECA">
        <w:rPr>
          <w:rFonts w:ascii="Century Gothic" w:eastAsia="Century Gothic" w:hAnsi="Century Gothic" w:cs="Century Gothic"/>
          <w:i/>
          <w:iCs/>
        </w:rPr>
        <w:t>cordial</w:t>
      </w:r>
      <w:proofErr w:type="spellEnd"/>
      <w:r w:rsidRPr="00C80ECA">
        <w:rPr>
          <w:rFonts w:ascii="Century Gothic" w:eastAsia="Century Gothic" w:hAnsi="Century Gothic" w:cs="Century Gothic"/>
          <w:i/>
          <w:iCs/>
        </w:rPr>
        <w:t>, zasypeme ledem a pečlivě protřepeme. Směs přelijeme do sklenice s ledem, dolijeme Mattoni perlivou a promícháme barovou lžící. Na závěr zastříkneme aromatem ze zeleného jablka a ozdobíme listem řapíkatého celeru.</w:t>
      </w:r>
    </w:p>
    <w:p w14:paraId="73889DB2" w14:textId="77777777" w:rsidR="00C80ECA" w:rsidRPr="00C80ECA" w:rsidRDefault="00C80ECA" w:rsidP="00C80ECA">
      <w:pPr>
        <w:spacing w:line="259" w:lineRule="auto"/>
        <w:rPr>
          <w:rFonts w:ascii="Century Gothic" w:hAnsi="Century Gothic"/>
        </w:rPr>
      </w:pPr>
    </w:p>
    <w:p w14:paraId="75670F52" w14:textId="767B4EBD" w:rsidR="00495769" w:rsidRDefault="00000000" w:rsidP="00C80ECA">
      <w:pPr>
        <w:spacing w:line="259" w:lineRule="auto"/>
        <w:rPr>
          <w:rFonts w:ascii="Century Gothic" w:eastAsia="Century Gothic" w:hAnsi="Century Gothic" w:cs="Century Gothic"/>
          <w:b/>
          <w:bCs/>
          <w:color w:val="000000"/>
          <w:sz w:val="18"/>
          <w:szCs w:val="18"/>
        </w:rPr>
      </w:pPr>
      <w:r>
        <w:rPr>
          <w:rFonts w:ascii="Century Gothic" w:eastAsia="Century Gothic" w:hAnsi="Century Gothic" w:cs="Century Gothic"/>
          <w:b/>
          <w:bCs/>
          <w:color w:val="000000"/>
          <w:sz w:val="18"/>
          <w:szCs w:val="18"/>
        </w:rPr>
        <w:t>O Mattoni Grand Drink</w:t>
      </w:r>
    </w:p>
    <w:p w14:paraId="0DC3A0AC" w14:textId="77777777" w:rsidR="00495769" w:rsidRDefault="00000000">
      <w:pPr>
        <w:spacing w:after="6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Mattoni Grand Drink je celosvětově uznávaná barmanská soutěž s více než pětadvacetiletou tradicí. Letošní 26. ročník je zároveň potřinácté pořádán jako oficiální Mistrovství světa v míchání nealkoholických koktejlů pod záštitou Světové barmanské asociace. Svojí dosavadní historií si tato soutěž na mezinárodní scéně vydobyla vysoké renomé. Základem všech soutěžních koktejlů je vždy minerální voda Mattoni. Mattoni Grand Drink je rovněž znám tím, že určuje trendy v oboru. Ty nejlepší kreace se pak snadno dostávají na nápojové lístky barů na celém světě. Mattoni Grand Drink už ve své historii prošel několika evropskými metropolemi a před šesti lety se vrátil zpět do Karlových Varů, rodiště značky Mattoni. Dosud český zástupce zvítězil třikrát – naposledy se to povedlo v roce 2024 Martinu Vogeltanzovi s koktejlem </w:t>
      </w:r>
      <w:proofErr w:type="spellStart"/>
      <w:r>
        <w:rPr>
          <w:rFonts w:ascii="Century Gothic" w:eastAsia="Century Gothic" w:hAnsi="Century Gothic" w:cs="Century Gothic"/>
          <w:color w:val="000000"/>
          <w:sz w:val="18"/>
          <w:szCs w:val="18"/>
        </w:rPr>
        <w:t>Nature</w:t>
      </w:r>
      <w:proofErr w:type="spellEnd"/>
      <w:r>
        <w:rPr>
          <w:rFonts w:ascii="Century Gothic" w:eastAsia="Century Gothic" w:hAnsi="Century Gothic" w:cs="Century Gothic"/>
          <w:color w:val="000000"/>
          <w:sz w:val="18"/>
          <w:szCs w:val="18"/>
        </w:rPr>
        <w:t>.</w:t>
      </w:r>
    </w:p>
    <w:p w14:paraId="24F79EE8" w14:textId="77777777" w:rsidR="00495769" w:rsidRDefault="00000000">
      <w:pPr>
        <w:spacing w:after="24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V roce 2023 vznikla nová kategorie Mattoni Grand Drink Junior, která je určena pro studenty středních gastronomických škol. Juniorská kategorie má za cíl podpořit mladé barmany a připravit je na soutěže v rámci jejich budoucí profesionální kariéry.</w:t>
      </w:r>
    </w:p>
    <w:p w14:paraId="4A97FB81" w14:textId="77777777" w:rsidR="00495769" w:rsidRDefault="00000000">
      <w:pPr>
        <w:spacing w:after="6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b/>
          <w:bCs/>
          <w:color w:val="000000"/>
          <w:sz w:val="18"/>
          <w:szCs w:val="18"/>
        </w:rPr>
        <w:t>O Mattoni 1873</w:t>
      </w:r>
    </w:p>
    <w:p w14:paraId="439859CE" w14:textId="77777777" w:rsidR="00495769" w:rsidRDefault="00000000">
      <w:pPr>
        <w:spacing w:after="6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Mattoni 1873, skupina kolem mateřské společnosti Mattoni 1873 a. s., je největším distributorem nealkoholických nápojů ve střední Evropě. Mattoni 1873 je dlouhodobě úspěšná a respektovaná rodinná firma, která staví na skvělých značkách s dlouhou tradicí, a i přes svou velikost je stále věrná hodnotám, ze kterých vzešla. Posláním naší společnosti je přinášet lidem do života osvěžení.</w:t>
      </w:r>
    </w:p>
    <w:p w14:paraId="46BA1ACA" w14:textId="77777777" w:rsidR="00495769" w:rsidRDefault="00000000">
      <w:pPr>
        <w:spacing w:after="6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lastRenderedPageBreak/>
        <w:t xml:space="preserve">Kořeny skupiny sahají do roku 1873, ke karlovarskému rodákovi Heinrichu </w:t>
      </w:r>
      <w:proofErr w:type="spellStart"/>
      <w:r>
        <w:rPr>
          <w:rFonts w:ascii="Century Gothic" w:eastAsia="Century Gothic" w:hAnsi="Century Gothic" w:cs="Century Gothic"/>
          <w:color w:val="000000"/>
          <w:sz w:val="18"/>
          <w:szCs w:val="18"/>
        </w:rPr>
        <w:t>Mattonimu</w:t>
      </w:r>
      <w:proofErr w:type="spellEnd"/>
      <w:r>
        <w:rPr>
          <w:rFonts w:ascii="Century Gothic" w:eastAsia="Century Gothic" w:hAnsi="Century Gothic" w:cs="Century Gothic"/>
          <w:color w:val="000000"/>
          <w:sz w:val="18"/>
          <w:szCs w:val="18"/>
        </w:rPr>
        <w:t xml:space="preserve">. Novodobé kapitoly se začaly psát v 90. letech díky výrazným investicím nových majitelů, italské rodiny </w:t>
      </w:r>
      <w:proofErr w:type="spellStart"/>
      <w:r>
        <w:rPr>
          <w:rFonts w:ascii="Century Gothic" w:eastAsia="Century Gothic" w:hAnsi="Century Gothic" w:cs="Century Gothic"/>
          <w:color w:val="000000"/>
          <w:sz w:val="18"/>
          <w:szCs w:val="18"/>
        </w:rPr>
        <w:t>Pasquale</w:t>
      </w:r>
      <w:proofErr w:type="spellEnd"/>
      <w:r>
        <w:rPr>
          <w:rFonts w:ascii="Century Gothic" w:eastAsia="Century Gothic" w:hAnsi="Century Gothic" w:cs="Century Gothic"/>
          <w:color w:val="000000"/>
          <w:sz w:val="18"/>
          <w:szCs w:val="18"/>
        </w:rPr>
        <w:t>.</w:t>
      </w:r>
    </w:p>
    <w:p w14:paraId="6CA280E3" w14:textId="77777777" w:rsidR="00495769" w:rsidRDefault="00000000">
      <w:pPr>
        <w:spacing w:after="6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V ČR vyrábí skupina vedle tradiční minerální vody Mattoni také pramenitou vodu </w:t>
      </w:r>
      <w:proofErr w:type="spellStart"/>
      <w:r>
        <w:rPr>
          <w:rFonts w:ascii="Century Gothic" w:eastAsia="Century Gothic" w:hAnsi="Century Gothic" w:cs="Century Gothic"/>
          <w:color w:val="000000"/>
          <w:sz w:val="18"/>
          <w:szCs w:val="18"/>
        </w:rPr>
        <w:t>Aquila</w:t>
      </w:r>
      <w:proofErr w:type="spellEnd"/>
      <w:r>
        <w:rPr>
          <w:rFonts w:ascii="Century Gothic" w:eastAsia="Century Gothic" w:hAnsi="Century Gothic" w:cs="Century Gothic"/>
          <w:color w:val="000000"/>
          <w:sz w:val="18"/>
          <w:szCs w:val="18"/>
        </w:rPr>
        <w:t xml:space="preserve"> a minerální vody Magnesia, Poděbradka, Dobrá voda a Hanácká Kyselka; dále značky nealkoholických nápojů Pepsi, </w:t>
      </w:r>
      <w:proofErr w:type="spellStart"/>
      <w:r>
        <w:rPr>
          <w:rFonts w:ascii="Century Gothic" w:eastAsia="Century Gothic" w:hAnsi="Century Gothic" w:cs="Century Gothic"/>
          <w:color w:val="000000"/>
          <w:sz w:val="18"/>
          <w:szCs w:val="18"/>
        </w:rPr>
        <w:t>Mirinda</w:t>
      </w:r>
      <w:proofErr w:type="spellEnd"/>
      <w:r>
        <w:rPr>
          <w:rFonts w:ascii="Century Gothic" w:eastAsia="Century Gothic" w:hAnsi="Century Gothic" w:cs="Century Gothic"/>
          <w:color w:val="000000"/>
          <w:sz w:val="18"/>
          <w:szCs w:val="18"/>
        </w:rPr>
        <w:t xml:space="preserve">, 7UP, </w:t>
      </w:r>
      <w:proofErr w:type="spellStart"/>
      <w:r>
        <w:rPr>
          <w:rFonts w:ascii="Century Gothic" w:eastAsia="Century Gothic" w:hAnsi="Century Gothic" w:cs="Century Gothic"/>
          <w:color w:val="000000"/>
          <w:sz w:val="18"/>
          <w:szCs w:val="18"/>
        </w:rPr>
        <w:t>Schweppes</w:t>
      </w:r>
      <w:proofErr w:type="spellEnd"/>
      <w:r>
        <w:rPr>
          <w:rFonts w:ascii="Century Gothic" w:eastAsia="Century Gothic" w:hAnsi="Century Gothic" w:cs="Century Gothic"/>
          <w:color w:val="000000"/>
          <w:sz w:val="18"/>
          <w:szCs w:val="18"/>
        </w:rPr>
        <w:t xml:space="preserve">, </w:t>
      </w:r>
      <w:proofErr w:type="spellStart"/>
      <w:r>
        <w:rPr>
          <w:rFonts w:ascii="Century Gothic" w:eastAsia="Century Gothic" w:hAnsi="Century Gothic" w:cs="Century Gothic"/>
          <w:color w:val="000000"/>
          <w:sz w:val="18"/>
          <w:szCs w:val="18"/>
        </w:rPr>
        <w:t>Gatorade</w:t>
      </w:r>
      <w:proofErr w:type="spellEnd"/>
      <w:r>
        <w:rPr>
          <w:rFonts w:ascii="Century Gothic" w:eastAsia="Century Gothic" w:hAnsi="Century Gothic" w:cs="Century Gothic"/>
          <w:color w:val="000000"/>
          <w:sz w:val="18"/>
          <w:szCs w:val="18"/>
        </w:rPr>
        <w:t xml:space="preserve">, </w:t>
      </w:r>
      <w:proofErr w:type="spellStart"/>
      <w:r>
        <w:rPr>
          <w:rFonts w:ascii="Century Gothic" w:eastAsia="Century Gothic" w:hAnsi="Century Gothic" w:cs="Century Gothic"/>
          <w:color w:val="000000"/>
          <w:sz w:val="18"/>
          <w:szCs w:val="18"/>
        </w:rPr>
        <w:t>Mountain</w:t>
      </w:r>
      <w:proofErr w:type="spellEnd"/>
      <w:r>
        <w:rPr>
          <w:rFonts w:ascii="Century Gothic" w:eastAsia="Century Gothic" w:hAnsi="Century Gothic" w:cs="Century Gothic"/>
          <w:color w:val="000000"/>
          <w:sz w:val="18"/>
          <w:szCs w:val="18"/>
        </w:rPr>
        <w:t xml:space="preserve"> </w:t>
      </w:r>
      <w:proofErr w:type="spellStart"/>
      <w:r>
        <w:rPr>
          <w:rFonts w:ascii="Century Gothic" w:eastAsia="Century Gothic" w:hAnsi="Century Gothic" w:cs="Century Gothic"/>
          <w:color w:val="000000"/>
          <w:sz w:val="18"/>
          <w:szCs w:val="18"/>
        </w:rPr>
        <w:t>Dew</w:t>
      </w:r>
      <w:proofErr w:type="spellEnd"/>
      <w:r>
        <w:rPr>
          <w:rFonts w:ascii="Century Gothic" w:eastAsia="Century Gothic" w:hAnsi="Century Gothic" w:cs="Century Gothic"/>
          <w:color w:val="000000"/>
          <w:sz w:val="18"/>
          <w:szCs w:val="18"/>
        </w:rPr>
        <w:t xml:space="preserve">, a další. Distribuuje také </w:t>
      </w:r>
      <w:proofErr w:type="spellStart"/>
      <w:r>
        <w:rPr>
          <w:rFonts w:ascii="Century Gothic" w:eastAsia="Century Gothic" w:hAnsi="Century Gothic" w:cs="Century Gothic"/>
          <w:color w:val="000000"/>
          <w:sz w:val="18"/>
          <w:szCs w:val="18"/>
        </w:rPr>
        <w:t>snacky</w:t>
      </w:r>
      <w:proofErr w:type="spellEnd"/>
      <w:r>
        <w:rPr>
          <w:rFonts w:ascii="Century Gothic" w:eastAsia="Century Gothic" w:hAnsi="Century Gothic" w:cs="Century Gothic"/>
          <w:color w:val="000000"/>
          <w:sz w:val="18"/>
          <w:szCs w:val="18"/>
        </w:rPr>
        <w:t xml:space="preserve"> značky </w:t>
      </w:r>
      <w:proofErr w:type="spellStart"/>
      <w:r>
        <w:rPr>
          <w:rFonts w:ascii="Century Gothic" w:eastAsia="Century Gothic" w:hAnsi="Century Gothic" w:cs="Century Gothic"/>
          <w:color w:val="000000"/>
          <w:sz w:val="18"/>
          <w:szCs w:val="18"/>
        </w:rPr>
        <w:t>Lay’s</w:t>
      </w:r>
      <w:proofErr w:type="spellEnd"/>
      <w:r>
        <w:rPr>
          <w:rFonts w:ascii="Century Gothic" w:eastAsia="Century Gothic" w:hAnsi="Century Gothic" w:cs="Century Gothic"/>
          <w:color w:val="000000"/>
          <w:sz w:val="18"/>
          <w:szCs w:val="18"/>
        </w:rPr>
        <w:t xml:space="preserve">. V partnerské spolupráci s Budějovickým Budvarem vyrábí ochucené nealkoholické pivo </w:t>
      </w:r>
      <w:proofErr w:type="spellStart"/>
      <w:r>
        <w:rPr>
          <w:rFonts w:ascii="Century Gothic" w:eastAsia="Century Gothic" w:hAnsi="Century Gothic" w:cs="Century Gothic"/>
          <w:color w:val="000000"/>
          <w:sz w:val="18"/>
          <w:szCs w:val="18"/>
        </w:rPr>
        <w:t>BirGo</w:t>
      </w:r>
      <w:proofErr w:type="spellEnd"/>
      <w:r>
        <w:rPr>
          <w:rFonts w:ascii="Century Gothic" w:eastAsia="Century Gothic" w:hAnsi="Century Gothic" w:cs="Century Gothic"/>
          <w:color w:val="000000"/>
          <w:sz w:val="18"/>
          <w:szCs w:val="18"/>
        </w:rPr>
        <w:t>.</w:t>
      </w:r>
    </w:p>
    <w:p w14:paraId="31376593" w14:textId="77777777" w:rsidR="00495769" w:rsidRDefault="00000000">
      <w:pPr>
        <w:spacing w:after="6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Své produkty v současné době Mattoni 1873 vyváží do téměř 20 zemí světa a jako mateřská společnost vlastní zahraniční značky minerálních vod v Rakousku, Maďarsku a Srbsku. V Rakousku, Bulharsku, Slovensku, Maďarsku, Srbsku, Černé Hoře a Bosně a Hercegovině je Mattoni 1873 výhradním výrobcem a distributorem nealkoholických nápojů značek firmy PepsiCo. Ve všech zemích, kde skupina operuje, zaměstnává na 3 650 zaměstnanců.</w:t>
      </w:r>
    </w:p>
    <w:p w14:paraId="35407B77" w14:textId="77777777" w:rsidR="00495769" w:rsidRDefault="00000000">
      <w:pPr>
        <w:spacing w:after="24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Mattoni 1873 se významně podílí na kulturním, sportovním a společenském životě. Podporuje také projekty spojené s ochranou přírody a otázkou ekologie. Mattoni 1873 je zakladatelem iniciativy Zálohujme.cz, která usiluje o dlouhodobou udržitelnost nápojového odvětví prostřednictvím lokální recyklace PET lahví a plechovek. Další zajímavé informace naleznete na profilech Mattoni 1873 na sociálních sítích </w:t>
      </w:r>
      <w:hyperlink r:id="rId8">
        <w:r>
          <w:rPr>
            <w:rFonts w:ascii="Century Gothic" w:eastAsia="Century Gothic" w:hAnsi="Century Gothic" w:cs="Century Gothic"/>
            <w:color w:val="467886"/>
            <w:sz w:val="18"/>
            <w:szCs w:val="18"/>
            <w:u w:val="single"/>
          </w:rPr>
          <w:t>LinkedIn</w:t>
        </w:r>
      </w:hyperlink>
      <w:r>
        <w:rPr>
          <w:rFonts w:ascii="Century Gothic" w:eastAsia="Century Gothic" w:hAnsi="Century Gothic" w:cs="Century Gothic"/>
          <w:color w:val="000000"/>
          <w:sz w:val="18"/>
          <w:szCs w:val="18"/>
        </w:rPr>
        <w:t xml:space="preserve">, </w:t>
      </w:r>
      <w:hyperlink r:id="rId9">
        <w:r>
          <w:rPr>
            <w:rFonts w:ascii="Century Gothic" w:eastAsia="Century Gothic" w:hAnsi="Century Gothic" w:cs="Century Gothic"/>
            <w:color w:val="467886"/>
            <w:sz w:val="18"/>
            <w:szCs w:val="18"/>
            <w:u w:val="single"/>
          </w:rPr>
          <w:t>X</w:t>
        </w:r>
      </w:hyperlink>
      <w:r>
        <w:rPr>
          <w:rFonts w:ascii="Century Gothic" w:eastAsia="Century Gothic" w:hAnsi="Century Gothic" w:cs="Century Gothic"/>
          <w:color w:val="000000"/>
          <w:sz w:val="18"/>
          <w:szCs w:val="18"/>
        </w:rPr>
        <w:t xml:space="preserve"> a </w:t>
      </w:r>
      <w:hyperlink r:id="rId10">
        <w:r>
          <w:rPr>
            <w:rFonts w:ascii="Century Gothic" w:eastAsia="Century Gothic" w:hAnsi="Century Gothic" w:cs="Century Gothic"/>
            <w:color w:val="467886"/>
            <w:sz w:val="18"/>
            <w:szCs w:val="18"/>
            <w:u w:val="single"/>
          </w:rPr>
          <w:t>Facebook</w:t>
        </w:r>
      </w:hyperlink>
      <w:r>
        <w:rPr>
          <w:rFonts w:ascii="Century Gothic" w:eastAsia="Century Gothic" w:hAnsi="Century Gothic" w:cs="Century Gothic"/>
          <w:color w:val="000000"/>
          <w:sz w:val="18"/>
          <w:szCs w:val="18"/>
        </w:rPr>
        <w:t>.</w:t>
      </w:r>
    </w:p>
    <w:p w14:paraId="05CD4D84" w14:textId="77777777" w:rsidR="00495769" w:rsidRDefault="00000000">
      <w:pPr>
        <w:spacing w:after="60" w:line="240" w:lineRule="auto"/>
        <w:jc w:val="both"/>
        <w:rPr>
          <w:rFonts w:ascii="Century Gothic" w:eastAsia="Century Gothic" w:hAnsi="Century Gothic" w:cs="Century Gothic"/>
          <w:b/>
          <w:bCs/>
          <w:color w:val="000000"/>
          <w:sz w:val="18"/>
          <w:szCs w:val="18"/>
        </w:rPr>
      </w:pPr>
      <w:r>
        <w:rPr>
          <w:rFonts w:ascii="Century Gothic" w:eastAsia="Century Gothic" w:hAnsi="Century Gothic" w:cs="Century Gothic"/>
          <w:b/>
          <w:bCs/>
          <w:color w:val="000000"/>
          <w:sz w:val="18"/>
          <w:szCs w:val="18"/>
        </w:rPr>
        <w:t>O České barmanské asociaci</w:t>
      </w:r>
    </w:p>
    <w:p w14:paraId="302366CB" w14:textId="77777777" w:rsidR="00495769" w:rsidRDefault="00000000">
      <w:pPr>
        <w:spacing w:after="60" w:line="24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Česká barmanská asociace sdružuje v rámci České republiky profesionální barmany. Hlavním posláním CBA je výměna informací a zkušeností z oboru mezi jejími členy, organizace akcí odborného a společenského charakteru a barmanských, </w:t>
      </w:r>
      <w:proofErr w:type="spellStart"/>
      <w:r>
        <w:rPr>
          <w:rFonts w:ascii="Century Gothic" w:eastAsia="Century Gothic" w:hAnsi="Century Gothic" w:cs="Century Gothic"/>
          <w:color w:val="000000"/>
          <w:sz w:val="18"/>
          <w:szCs w:val="18"/>
        </w:rPr>
        <w:t>baristických</w:t>
      </w:r>
      <w:proofErr w:type="spellEnd"/>
      <w:r>
        <w:rPr>
          <w:rFonts w:ascii="Century Gothic" w:eastAsia="Century Gothic" w:hAnsi="Century Gothic" w:cs="Century Gothic"/>
          <w:color w:val="000000"/>
          <w:sz w:val="18"/>
          <w:szCs w:val="18"/>
        </w:rPr>
        <w:t>, čajových či gastronomických soutěží. CBA se také snaží prosazovat správnost technologie přípravy nápojů v barech, kavárnách a dalších provozech. Je pořadatelem mnoha barmanských soutěží včetně Mattoni Grand Drinku.</w:t>
      </w:r>
    </w:p>
    <w:p w14:paraId="592B492B" w14:textId="77777777" w:rsidR="00495769" w:rsidRDefault="00000000">
      <w:pPr>
        <w:spacing w:after="240" w:line="240" w:lineRule="auto"/>
        <w:jc w:val="both"/>
        <w:rPr>
          <w:rFonts w:ascii="Century Gothic" w:eastAsia="Century Gothic" w:hAnsi="Century Gothic" w:cs="Century Gothic"/>
          <w:sz w:val="18"/>
          <w:szCs w:val="18"/>
        </w:rPr>
      </w:pPr>
      <w:r>
        <w:rPr>
          <w:rFonts w:ascii="Century Gothic" w:eastAsia="Century Gothic" w:hAnsi="Century Gothic" w:cs="Century Gothic"/>
          <w:color w:val="000000"/>
          <w:sz w:val="18"/>
          <w:szCs w:val="18"/>
        </w:rPr>
        <w:t xml:space="preserve">Více na: </w:t>
      </w:r>
      <w:hyperlink r:id="rId11">
        <w:r>
          <w:rPr>
            <w:rFonts w:ascii="Century Gothic" w:eastAsia="Century Gothic" w:hAnsi="Century Gothic" w:cs="Century Gothic"/>
            <w:color w:val="000000"/>
            <w:sz w:val="18"/>
            <w:szCs w:val="18"/>
            <w:u w:val="single"/>
          </w:rPr>
          <w:t>www.cbanet.cz</w:t>
        </w:r>
      </w:hyperlink>
    </w:p>
    <w:p w14:paraId="6CA2E523" w14:textId="77777777" w:rsidR="00495769" w:rsidRDefault="00000000">
      <w:pPr>
        <w:pBdr>
          <w:top w:val="nil"/>
          <w:left w:val="nil"/>
          <w:bottom w:val="nil"/>
          <w:right w:val="nil"/>
          <w:between w:val="nil"/>
        </w:pBd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b/>
          <w:bCs/>
          <w:color w:val="000000"/>
          <w:sz w:val="20"/>
          <w:szCs w:val="20"/>
        </w:rPr>
        <w:t>Kontakt pro média</w:t>
      </w:r>
      <w:r>
        <w:rPr>
          <w:color w:val="000000"/>
          <w:sz w:val="28"/>
          <w:szCs w:val="28"/>
        </w:rPr>
        <w:br/>
      </w:r>
      <w:r>
        <w:rPr>
          <w:rFonts w:ascii="Century Gothic" w:eastAsia="Century Gothic" w:hAnsi="Century Gothic" w:cs="Century Gothic"/>
          <w:color w:val="000000"/>
          <w:sz w:val="20"/>
          <w:szCs w:val="20"/>
        </w:rPr>
        <w:t>Lutfia Miňovská, PR manažer</w:t>
      </w:r>
      <w:r>
        <w:rPr>
          <w:color w:val="000000"/>
          <w:sz w:val="28"/>
          <w:szCs w:val="28"/>
        </w:rPr>
        <w:br/>
      </w:r>
      <w:r>
        <w:rPr>
          <w:rFonts w:ascii="Century Gothic" w:eastAsia="Century Gothic" w:hAnsi="Century Gothic" w:cs="Century Gothic"/>
          <w:color w:val="000000"/>
          <w:sz w:val="20"/>
          <w:szCs w:val="20"/>
        </w:rPr>
        <w:t>Mattoni 1873</w:t>
      </w:r>
    </w:p>
    <w:p w14:paraId="403D6CD8" w14:textId="77777777" w:rsidR="00495769" w:rsidRDefault="00000000">
      <w:pPr>
        <w:pBdr>
          <w:top w:val="nil"/>
          <w:left w:val="nil"/>
          <w:bottom w:val="nil"/>
          <w:right w:val="nil"/>
          <w:between w:val="nil"/>
        </w:pBd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Telefon: 607 602 328</w:t>
      </w:r>
      <w:r>
        <w:rPr>
          <w:color w:val="000000"/>
          <w:sz w:val="28"/>
          <w:szCs w:val="28"/>
        </w:rPr>
        <w:br/>
      </w:r>
      <w:r>
        <w:rPr>
          <w:rFonts w:ascii="Century Gothic" w:eastAsia="Century Gothic" w:hAnsi="Century Gothic" w:cs="Century Gothic"/>
          <w:color w:val="000000"/>
          <w:sz w:val="20"/>
          <w:szCs w:val="20"/>
        </w:rPr>
        <w:t xml:space="preserve">E-mail: </w:t>
      </w:r>
      <w:hyperlink r:id="rId12">
        <w:r>
          <w:rPr>
            <w:rFonts w:ascii="Century Gothic" w:eastAsia="Century Gothic" w:hAnsi="Century Gothic" w:cs="Century Gothic"/>
            <w:color w:val="467886"/>
            <w:sz w:val="20"/>
            <w:szCs w:val="20"/>
            <w:u w:val="single"/>
          </w:rPr>
          <w:t>lutfia.volfova@mattoni.cz</w:t>
        </w:r>
      </w:hyperlink>
    </w:p>
    <w:sectPr w:rsidR="00495769">
      <w:headerReference w:type="default" r:id="rId13"/>
      <w:pgSz w:w="12240" w:h="15840"/>
      <w:pgMar w:top="1440" w:right="1440" w:bottom="1440" w:left="1440" w:header="510"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54077" w14:textId="77777777" w:rsidR="00757A98" w:rsidRDefault="00757A98">
      <w:pPr>
        <w:spacing w:after="0" w:line="240" w:lineRule="auto"/>
      </w:pPr>
      <w:r>
        <w:separator/>
      </w:r>
    </w:p>
  </w:endnote>
  <w:endnote w:type="continuationSeparator" w:id="0">
    <w:p w14:paraId="1C9F9670" w14:textId="77777777" w:rsidR="00757A98" w:rsidRDefault="00757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D842ABC-3783-4FA4-8EC3-53E1366B3F2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83E9063-2BC7-4F98-925B-871204410A8F}"/>
    <w:embedBold r:id="rId3" w:fontKey="{6DAF0BAE-4EC1-4FC4-93F2-61CC9F447DD5}"/>
    <w:embedItalic r:id="rId4" w:fontKey="{D4166475-2C87-485C-8F7D-B55B62098706}"/>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5" w:fontKey="{7DC8E590-D648-42EA-895D-55CA7C26E7C8}"/>
    <w:embedBold r:id="rId6" w:fontKey="{748E0EEB-2BD4-45E1-9124-1AB256EB0A66}"/>
    <w:embedItalic r:id="rId7" w:fontKey="{50AA1147-6226-455A-A574-7181D6293FC6}"/>
  </w:font>
  <w:font w:name="Cambria">
    <w:panose1 w:val="02040503050406030204"/>
    <w:charset w:val="00"/>
    <w:family w:val="roman"/>
    <w:pitch w:val="variable"/>
    <w:sig w:usb0="E00006FF" w:usb1="420024FF" w:usb2="02000000" w:usb3="00000000" w:csb0="0000019F" w:csb1="00000000"/>
    <w:embedRegular r:id="rId8" w:fontKey="{E204CAE8-F5B4-41DF-BF80-E95702D2FA4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DE65D" w14:textId="77777777" w:rsidR="00757A98" w:rsidRDefault="00757A98">
      <w:pPr>
        <w:spacing w:after="0" w:line="240" w:lineRule="auto"/>
      </w:pPr>
      <w:r>
        <w:separator/>
      </w:r>
    </w:p>
  </w:footnote>
  <w:footnote w:type="continuationSeparator" w:id="0">
    <w:p w14:paraId="74F88F55" w14:textId="77777777" w:rsidR="00757A98" w:rsidRDefault="00757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9AEB" w14:textId="77777777" w:rsidR="00495769"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25F346B3" wp14:editId="00EBF781">
          <wp:simplePos x="0" y="0"/>
          <wp:positionH relativeFrom="column">
            <wp:posOffset>-114298</wp:posOffset>
          </wp:positionH>
          <wp:positionV relativeFrom="paragraph">
            <wp:posOffset>167005</wp:posOffset>
          </wp:positionV>
          <wp:extent cx="1134791" cy="1008000"/>
          <wp:effectExtent l="0" t="0" r="0" b="0"/>
          <wp:wrapSquare wrapText="bothSides" distT="0" distB="0" distL="114300" distR="114300"/>
          <wp:docPr id="2" name="image1.png" descr="Obsah obrázku text, Písmo, Grafika, grafický design&#10;&#10;Obsah generovaný pomocí AI může být nesprávný."/>
          <wp:cNvGraphicFramePr/>
          <a:graphic xmlns:a="http://schemas.openxmlformats.org/drawingml/2006/main">
            <a:graphicData uri="http://schemas.openxmlformats.org/drawingml/2006/picture">
              <pic:pic xmlns:pic="http://schemas.openxmlformats.org/drawingml/2006/picture">
                <pic:nvPicPr>
                  <pic:cNvPr id="0" name="image1.png" descr="Obsah obrázku text, Písmo, Grafika, grafický design&#10;&#10;Obsah generovaný pomocí AI může být nesprávný."/>
                  <pic:cNvPicPr preferRelativeResize="0"/>
                </pic:nvPicPr>
                <pic:blipFill>
                  <a:blip r:embed="rId1"/>
                  <a:srcRect/>
                  <a:stretch>
                    <a:fillRect/>
                  </a:stretch>
                </pic:blipFill>
                <pic:spPr>
                  <a:xfrm>
                    <a:off x="0" y="0"/>
                    <a:ext cx="1134791" cy="10080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782C55C" wp14:editId="6EDA4EC9">
          <wp:simplePos x="0" y="0"/>
          <wp:positionH relativeFrom="column">
            <wp:posOffset>1256665</wp:posOffset>
          </wp:positionH>
          <wp:positionV relativeFrom="paragraph">
            <wp:posOffset>167005</wp:posOffset>
          </wp:positionV>
          <wp:extent cx="1008000" cy="1008000"/>
          <wp:effectExtent l="0" t="0" r="0" b="0"/>
          <wp:wrapSquare wrapText="bothSides" distT="0" distB="0" distL="114300" distR="114300"/>
          <wp:docPr id="4" name="image4.png" descr="Obsah obrázku symbol, logo, Grafika, kruh&#10;&#10;Popis byl vytvořen automaticky"/>
          <wp:cNvGraphicFramePr/>
          <a:graphic xmlns:a="http://schemas.openxmlformats.org/drawingml/2006/main">
            <a:graphicData uri="http://schemas.openxmlformats.org/drawingml/2006/picture">
              <pic:pic xmlns:pic="http://schemas.openxmlformats.org/drawingml/2006/picture">
                <pic:nvPicPr>
                  <pic:cNvPr id="0" name="image4.png" descr="Obsah obrázku symbol, logo, Grafika, kruh&#10;&#10;Popis byl vytvořen automaticky"/>
                  <pic:cNvPicPr preferRelativeResize="0"/>
                </pic:nvPicPr>
                <pic:blipFill>
                  <a:blip r:embed="rId2"/>
                  <a:srcRect/>
                  <a:stretch>
                    <a:fillRect/>
                  </a:stretch>
                </pic:blipFill>
                <pic:spPr>
                  <a:xfrm>
                    <a:off x="0" y="0"/>
                    <a:ext cx="1008000" cy="100800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480D5DD8" wp14:editId="43D605CE">
          <wp:simplePos x="0" y="0"/>
          <wp:positionH relativeFrom="column">
            <wp:posOffset>2513965</wp:posOffset>
          </wp:positionH>
          <wp:positionV relativeFrom="paragraph">
            <wp:posOffset>167005</wp:posOffset>
          </wp:positionV>
          <wp:extent cx="947566" cy="1008000"/>
          <wp:effectExtent l="0" t="0" r="0" b="0"/>
          <wp:wrapSquare wrapText="bothSides" distT="0" distB="0" distL="114300" distR="114300"/>
          <wp:docPr id="3" name="image2.jpg" descr="Obsah obrázku logo, Písmo, symbol, Obchodní značka&#10;&#10;Popis byl vytvořen automaticky"/>
          <wp:cNvGraphicFramePr/>
          <a:graphic xmlns:a="http://schemas.openxmlformats.org/drawingml/2006/main">
            <a:graphicData uri="http://schemas.openxmlformats.org/drawingml/2006/picture">
              <pic:pic xmlns:pic="http://schemas.openxmlformats.org/drawingml/2006/picture">
                <pic:nvPicPr>
                  <pic:cNvPr id="0" name="image2.jpg" descr="Obsah obrázku logo, Písmo, symbol, Obchodní značka&#10;&#10;Popis byl vytvořen automaticky"/>
                  <pic:cNvPicPr preferRelativeResize="0"/>
                </pic:nvPicPr>
                <pic:blipFill>
                  <a:blip r:embed="rId3"/>
                  <a:srcRect/>
                  <a:stretch>
                    <a:fillRect/>
                  </a:stretch>
                </pic:blipFill>
                <pic:spPr>
                  <a:xfrm>
                    <a:off x="0" y="0"/>
                    <a:ext cx="947566" cy="100800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04A97D9E" wp14:editId="7544B857">
          <wp:simplePos x="0" y="0"/>
          <wp:positionH relativeFrom="column">
            <wp:posOffset>3709670</wp:posOffset>
          </wp:positionH>
          <wp:positionV relativeFrom="paragraph">
            <wp:posOffset>167005</wp:posOffset>
          </wp:positionV>
          <wp:extent cx="2230468" cy="1008000"/>
          <wp:effectExtent l="0" t="0" r="0" b="0"/>
          <wp:wrapSquare wrapText="bothSides" distT="0" distB="0" distL="114300" distR="114300"/>
          <wp:docPr id="1" name="image3.jpg" descr="Obsah obrázku klipart, Grafika, Písmo, logo&#10;&#10;Popis byl vytvořen automaticky"/>
          <wp:cNvGraphicFramePr/>
          <a:graphic xmlns:a="http://schemas.openxmlformats.org/drawingml/2006/main">
            <a:graphicData uri="http://schemas.openxmlformats.org/drawingml/2006/picture">
              <pic:pic xmlns:pic="http://schemas.openxmlformats.org/drawingml/2006/picture">
                <pic:nvPicPr>
                  <pic:cNvPr id="0" name="image3.jpg" descr="Obsah obrázku klipart, Grafika, Písmo, logo&#10;&#10;Popis byl vytvořen automaticky"/>
                  <pic:cNvPicPr preferRelativeResize="0"/>
                </pic:nvPicPr>
                <pic:blipFill>
                  <a:blip r:embed="rId4"/>
                  <a:srcRect/>
                  <a:stretch>
                    <a:fillRect/>
                  </a:stretch>
                </pic:blipFill>
                <pic:spPr>
                  <a:xfrm>
                    <a:off x="0" y="0"/>
                    <a:ext cx="2230468" cy="1008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A54BD"/>
    <w:multiLevelType w:val="multilevel"/>
    <w:tmpl w:val="17706F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2446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769"/>
    <w:rsid w:val="00495769"/>
    <w:rsid w:val="00757A98"/>
    <w:rsid w:val="00C80ECA"/>
    <w:rsid w:val="00FC54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4A355"/>
  <w15:docId w15:val="{1E417333-1822-4474-BC27-EDDA3CD7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cs" w:eastAsia="cs-CZ"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360" w:after="80"/>
      <w:outlineLvl w:val="0"/>
    </w:pPr>
    <w:rPr>
      <w:color w:val="2F5496"/>
      <w:sz w:val="40"/>
      <w:szCs w:val="40"/>
    </w:rPr>
  </w:style>
  <w:style w:type="paragraph" w:styleId="Nadpis2">
    <w:name w:val="heading 2"/>
    <w:basedOn w:val="Normln"/>
    <w:next w:val="Normln"/>
    <w:uiPriority w:val="9"/>
    <w:semiHidden/>
    <w:unhideWhenUsed/>
    <w:qFormat/>
    <w:pPr>
      <w:keepNext/>
      <w:keepLines/>
      <w:spacing w:before="160" w:after="80"/>
      <w:outlineLvl w:val="1"/>
    </w:pPr>
    <w:rPr>
      <w:color w:val="2F5496"/>
      <w:sz w:val="32"/>
      <w:szCs w:val="32"/>
    </w:rPr>
  </w:style>
  <w:style w:type="paragraph" w:styleId="Nadpis3">
    <w:name w:val="heading 3"/>
    <w:basedOn w:val="Normln"/>
    <w:next w:val="Normln"/>
    <w:uiPriority w:val="9"/>
    <w:semiHidden/>
    <w:unhideWhenUsed/>
    <w:qFormat/>
    <w:pPr>
      <w:keepNext/>
      <w:keepLines/>
      <w:spacing w:before="160" w:after="80"/>
      <w:outlineLvl w:val="2"/>
    </w:pPr>
    <w:rPr>
      <w:color w:val="2F5496"/>
      <w:sz w:val="28"/>
      <w:szCs w:val="28"/>
    </w:rPr>
  </w:style>
  <w:style w:type="paragraph" w:styleId="Nadpis4">
    <w:name w:val="heading 4"/>
    <w:basedOn w:val="Normln"/>
    <w:next w:val="Normln"/>
    <w:uiPriority w:val="9"/>
    <w:semiHidden/>
    <w:unhideWhenUsed/>
    <w:qFormat/>
    <w:pPr>
      <w:keepNext/>
      <w:keepLines/>
      <w:spacing w:before="80" w:after="40"/>
      <w:outlineLvl w:val="3"/>
    </w:pPr>
    <w:rPr>
      <w:i/>
      <w:iCs/>
      <w:color w:val="2F5496"/>
    </w:rPr>
  </w:style>
  <w:style w:type="paragraph" w:styleId="Nadpis5">
    <w:name w:val="heading 5"/>
    <w:basedOn w:val="Normln"/>
    <w:next w:val="Normln"/>
    <w:uiPriority w:val="9"/>
    <w:semiHidden/>
    <w:unhideWhenUsed/>
    <w:qFormat/>
    <w:pPr>
      <w:keepNext/>
      <w:keepLines/>
      <w:spacing w:before="80" w:after="40"/>
      <w:outlineLvl w:val="4"/>
    </w:pPr>
    <w:rPr>
      <w:color w:val="2F5496"/>
    </w:rPr>
  </w:style>
  <w:style w:type="paragraph" w:styleId="Nadpis6">
    <w:name w:val="heading 6"/>
    <w:basedOn w:val="Normln"/>
    <w:next w:val="Normln"/>
    <w:uiPriority w:val="9"/>
    <w:semiHidden/>
    <w:unhideWhenUsed/>
    <w:qFormat/>
    <w:pPr>
      <w:keepNext/>
      <w:keepLines/>
      <w:spacing w:before="40" w:after="0"/>
      <w:outlineLvl w:val="5"/>
    </w:pPr>
    <w:rPr>
      <w:i/>
      <w:iCs/>
      <w:color w:val="595959"/>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spacing w:after="80" w:line="240" w:lineRule="auto"/>
    </w:pPr>
    <w:rPr>
      <w:sz w:val="56"/>
      <w:szCs w:val="56"/>
    </w:rPr>
  </w:style>
  <w:style w:type="paragraph" w:styleId="Podnadpis">
    <w:name w:val="Subtitle"/>
    <w:basedOn w:val="Normln"/>
    <w:next w:val="Normln"/>
    <w:uiPriority w:val="11"/>
    <w:qFormat/>
    <w:rPr>
      <w:color w:val="595959"/>
      <w:sz w:val="28"/>
      <w:szCs w:val="28"/>
    </w:rPr>
  </w:style>
  <w:style w:type="paragraph" w:styleId="Zhlav">
    <w:name w:val="header"/>
    <w:basedOn w:val="Normln"/>
    <w:link w:val="ZhlavChar"/>
    <w:uiPriority w:val="99"/>
    <w:unhideWhenUsed/>
    <w:rsid w:val="00C80ECA"/>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C80ECA"/>
  </w:style>
  <w:style w:type="paragraph" w:styleId="Zpat">
    <w:name w:val="footer"/>
    <w:basedOn w:val="Normln"/>
    <w:link w:val="ZpatChar"/>
    <w:uiPriority w:val="99"/>
    <w:unhideWhenUsed/>
    <w:rsid w:val="00C80ECA"/>
    <w:pPr>
      <w:tabs>
        <w:tab w:val="center" w:pos="4513"/>
        <w:tab w:val="right" w:pos="9026"/>
      </w:tabs>
      <w:spacing w:after="0" w:line="240" w:lineRule="auto"/>
    </w:pPr>
  </w:style>
  <w:style w:type="character" w:customStyle="1" w:styleId="ZpatChar">
    <w:name w:val="Zápatí Char"/>
    <w:basedOn w:val="Standardnpsmoodstavce"/>
    <w:link w:val="Zpat"/>
    <w:uiPriority w:val="99"/>
    <w:rsid w:val="00C80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inkedin.com/company/mattoni-1873/posts/?feedView=al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utfia.volfova@mattoni.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banet.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acebook.com/Mattoni1873" TargetMode="External"/><Relationship Id="rId4" Type="http://schemas.openxmlformats.org/officeDocument/2006/relationships/settings" Target="settings.xml"/><Relationship Id="rId9" Type="http://schemas.openxmlformats.org/officeDocument/2006/relationships/hyperlink" Target="https://x.com/Mattoni1873"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KwUfYQ+6izKL7i/b3X0M5COYrw==">CgMxLjA4AHIhMW9TZ0JSblpRZHRCa3BtRlpfeC0zQmxaWlV5RURpZzBp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1300</Words>
  <Characters>7672</Characters>
  <Application>Microsoft Office Word</Application>
  <DocSecurity>0</DocSecurity>
  <Lines>63</Lines>
  <Paragraphs>17</Paragraphs>
  <ScaleCrop>false</ScaleCrop>
  <Company>Mattoni 1873 a.s.</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Sonnková Viktorie</cp:lastModifiedBy>
  <cp:revision>2</cp:revision>
  <dcterms:created xsi:type="dcterms:W3CDTF">2026-05-02T16:49:00Z</dcterms:created>
  <dcterms:modified xsi:type="dcterms:W3CDTF">2026-05-02T16:52:00Z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MediaServiceImageTags">
    <vt:lpwstr>MediaServiceImageTags</vt:lpwstr>
  </property>
</Properties>
</file>