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0" w:line="276" w:lineRule="auto"/>
        <w:jc w:val="center"/>
        <w:rPr>
          <w:b w:val="1"/>
          <w:i w:val="1"/>
          <w:highlight w:val="white"/>
          <w:u w:val="single"/>
        </w:rPr>
      </w:pPr>
      <w:r w:rsidDel="00000000" w:rsidR="00000000" w:rsidRPr="00000000">
        <w:rPr>
          <w:b w:val="1"/>
          <w:i w:val="1"/>
          <w:highlight w:val="white"/>
          <w:u w:val="single"/>
          <w:rtl w:val="0"/>
        </w:rPr>
        <w:t xml:space="preserve">TZ: </w:t>
      </w:r>
      <w:r w:rsidDel="00000000" w:rsidR="00000000" w:rsidRPr="00000000">
        <w:rPr>
          <w:b w:val="1"/>
          <w:color w:val="222222"/>
          <w:u w:val="single"/>
          <w:rtl w:val="0"/>
        </w:rPr>
        <w:t xml:space="preserve">Výstava „Mince lucemburských králů“ odhaluje skvosty středověké numismatiky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color w:val="222222"/>
          <w:sz w:val="20"/>
          <w:szCs w:val="20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České Budějovice, 19. května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b w:val="1"/>
          <w:i w:val="1"/>
          <w:color w:val="222222"/>
        </w:rPr>
      </w:pPr>
      <w:r w:rsidDel="00000000" w:rsidR="00000000" w:rsidRPr="00000000">
        <w:rPr>
          <w:b w:val="1"/>
          <w:i w:val="1"/>
          <w:color w:val="222222"/>
          <w:rtl w:val="0"/>
        </w:rPr>
        <w:t xml:space="preserve">Stopy vlády Karla IV. a jeho předků jsou v českých zemích patrné dodnes, a to nejen v architektuře či kultuře, ale i v mincovnictví. Výstava v českobudějovické prodejně Zlaťáky.cz nabízí jedinečnou příležitost nahlédnout do středověké pokladnice Lucemburků – dynastie, která v českých zemích vládla ve 14. a 15. století a zanechala hlubokou stopu v evropských dějinách.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„Cílem výstavy je přiblížit veřejnosti nejen výtvarnou krásu a technickou vyspělost tehdejších mincí, ale i příběhy mocných panovníků, kteří je razili. Lucemburské mincovnictví je obsáhlé a výstava pouze poodhaluje oponu, za kterou se skrývá množství ražeb z Lucemburska, Bavorska nebo Itálie. Vystavené mince pochází ze soukromých kolekcí členů ČNS,“</w:t>
      </w:r>
      <w:r w:rsidDel="00000000" w:rsidR="00000000" w:rsidRPr="00000000">
        <w:rPr>
          <w:color w:val="222222"/>
          <w:rtl w:val="0"/>
        </w:rPr>
        <w:t xml:space="preserve"> vysvětluje Michal Mašek, předseda České numismatické společnosti, která sbírku zapůjčila. 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Zájemci si tak budou moci prohlédnout například originální groše, parvy, haléře i dukáty, které razili Jan Lucemburský, jeho syn Karel IV., a další členové této významné královské linie.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Zlatý věk Lucemburků v mincích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Výstava sleduje vývoj lucemburské dynastie od Jindřicha VII., římského císaře a dědečka Karla IV., přes slavného českého krále a císaře Karla IV., až po posledního Lucemburka na českém trůně Zikmunda. Návštěvníci uvidí mimo jiné: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240" w:line="276" w:lineRule="auto"/>
        <w:ind w:left="9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Pražské groše Jana Lucemburského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76" w:lineRule="auto"/>
        <w:ind w:left="9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Zlaté dukáty Karla IV. s českou i císařskou korunou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76" w:lineRule="auto"/>
        <w:ind w:left="9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Jednostranné mince Václava IV., tzv. čtyřrázy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76" w:lineRule="auto"/>
        <w:ind w:left="9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Zlaté ražby z uherské Kremnice z doby Zikmunda Lucemburského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line="276" w:lineRule="auto"/>
        <w:ind w:left="9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Moravské ražby </w:t>
      </w:r>
      <w:r w:rsidDel="00000000" w:rsidR="00000000" w:rsidRPr="00000000">
        <w:rPr>
          <w:color w:val="222222"/>
          <w:rtl w:val="0"/>
        </w:rPr>
        <w:t xml:space="preserve">markrabat</w:t>
      </w:r>
      <w:r w:rsidDel="00000000" w:rsidR="00000000" w:rsidRPr="00000000">
        <w:rPr>
          <w:color w:val="222222"/>
          <w:rtl w:val="0"/>
        </w:rPr>
        <w:t xml:space="preserve"> Jana Jindřicha a Jošta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Zvláštní pozornost je věnována také méně známým </w:t>
      </w:r>
      <w:r w:rsidDel="00000000" w:rsidR="00000000" w:rsidRPr="00000000">
        <w:rPr>
          <w:color w:val="222222"/>
          <w:rtl w:val="0"/>
        </w:rPr>
        <w:t xml:space="preserve">ražbám</w:t>
      </w:r>
      <w:r w:rsidDel="00000000" w:rsidR="00000000" w:rsidRPr="00000000">
        <w:rPr>
          <w:color w:val="222222"/>
          <w:rtl w:val="0"/>
        </w:rPr>
        <w:t xml:space="preserve"> ostatních členů rodu – například Elišky Zhořelecké, poslední přímé členky lucemburské dynastie, nebo Mikuláše Lucemburského, nemanželského syna Jana Lucemburského, který razil mince jako patriarcha v Aquilei.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i w:val="1"/>
          <w:color w:val="222222"/>
          <w:rtl w:val="0"/>
        </w:rPr>
        <w:t xml:space="preserve">„Výstava je určena pro všechny milovníky historie, sběratele, pedagogy i rodiny s dětmi a nabízí jedinečný pohled na období, kdy české země byly jedním z center evropské moci,“ </w:t>
      </w:r>
      <w:r w:rsidDel="00000000" w:rsidR="00000000" w:rsidRPr="00000000">
        <w:rPr>
          <w:color w:val="222222"/>
          <w:rtl w:val="0"/>
        </w:rPr>
        <w:t xml:space="preserve">doplňuje Martin Štich, ředitel společnosti Zlaťáky.cz.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41035" cy="2857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0220" y="377046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41035" cy="28575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03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Společnost Zlaťáky.cz</w:t>
      </w:r>
      <w:r w:rsidDel="00000000" w:rsidR="00000000" w:rsidRPr="00000000">
        <w:rPr>
          <w:sz w:val="20"/>
          <w:szCs w:val="20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31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Kontakt pro média: </w:t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Dominika Bártová</w:t>
      </w:r>
    </w:p>
    <w:p w:rsidR="00000000" w:rsidDel="00000000" w:rsidP="00000000" w:rsidRDefault="00000000" w:rsidRPr="00000000" w14:paraId="00000024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 Manager Zlaťáky.cz</w:t>
      </w:r>
    </w:p>
    <w:p w:rsidR="00000000" w:rsidDel="00000000" w:rsidP="00000000" w:rsidRDefault="00000000" w:rsidRPr="00000000" w14:paraId="00000025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Tel.: 607 846 988</w:t>
      </w:r>
    </w:p>
    <w:p w:rsidR="00000000" w:rsidDel="00000000" w:rsidP="00000000" w:rsidRDefault="00000000" w:rsidRPr="00000000" w14:paraId="00000026">
      <w:pPr>
        <w:spacing w:line="331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31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71740" cy="10709910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74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cs-CZ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cs-CZ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Zhlavazpat">
    <w:name w:val="Záhlaví a zápatí"/>
    <w:basedOn w:val="Normal"/>
    <w:qFormat w:val="1"/>
    <w:pPr/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dominika.bartova@zlataky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+BwKgAMWNJUW7RDKNpOKmMjaQ==">CgMxLjA4AHIhMW1EQW1WUlN6cDhTcTlDUGNyOGJNU1VVbEkxSkJMWTRl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