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D77C" w14:textId="77777777" w:rsidR="00E168E1" w:rsidRDefault="00E168E1" w:rsidP="00DB1193">
      <w:pPr>
        <w:pStyle w:val="NormalWeb"/>
        <w:spacing w:line="360" w:lineRule="auto"/>
        <w:rPr>
          <w:rFonts w:ascii="Calibri" w:hAnsi="Calibri" w:cs="Calibri"/>
          <w:b/>
          <w:bCs/>
          <w:sz w:val="32"/>
          <w:szCs w:val="32"/>
        </w:rPr>
      </w:pPr>
    </w:p>
    <w:p w14:paraId="7716F36D" w14:textId="77777777" w:rsidR="00E168E1" w:rsidRPr="00E168E1" w:rsidRDefault="00E168E1" w:rsidP="00DB1193">
      <w:pPr>
        <w:pStyle w:val="Heading2"/>
        <w:spacing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168E1">
        <w:rPr>
          <w:rFonts w:ascii="Arial" w:hAnsi="Arial" w:cs="Arial"/>
          <w:b/>
          <w:bCs/>
          <w:color w:val="000000"/>
          <w:sz w:val="36"/>
          <w:szCs w:val="36"/>
        </w:rPr>
        <w:t>Evropa sjednocuje zdravotní data: do roku 2031 si pacienti ponesou kartu zdraví napříč státy EU</w:t>
      </w:r>
    </w:p>
    <w:p w14:paraId="46859D8D" w14:textId="010BD4C3" w:rsidR="00E168E1" w:rsidRPr="00E168E1" w:rsidRDefault="00E168E1" w:rsidP="00DB1193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E168E1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/>
        </w:rPr>
        <w:t xml:space="preserve">Praha, </w:t>
      </w:r>
      <w:r w:rsidR="00E41A32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/>
        </w:rPr>
        <w:t>1</w:t>
      </w:r>
      <w:r w:rsidRPr="00E168E1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/>
        </w:rPr>
        <w:t xml:space="preserve">. </w:t>
      </w:r>
      <w:r w:rsidR="00452311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/>
        </w:rPr>
        <w:t>září</w:t>
      </w:r>
      <w:r w:rsidRPr="00E168E1">
        <w:rPr>
          <w:rStyle w:val="Strong"/>
          <w:rFonts w:ascii="Arial" w:eastAsiaTheme="majorEastAsia" w:hAnsi="Arial" w:cs="Arial"/>
          <w:b w:val="0"/>
          <w:bCs w:val="0"/>
          <w:i/>
          <w:iCs/>
          <w:color w:val="000000"/>
        </w:rPr>
        <w:t xml:space="preserve"> 2025</w:t>
      </w:r>
      <w:r w:rsidRPr="00E168E1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168E1">
        <w:rPr>
          <w:rFonts w:ascii="Arial" w:hAnsi="Arial" w:cs="Arial"/>
          <w:color w:val="000000"/>
        </w:rPr>
        <w:t xml:space="preserve">– </w:t>
      </w:r>
      <w:r w:rsidRPr="00E168E1">
        <w:rPr>
          <w:rFonts w:ascii="Arial" w:hAnsi="Arial" w:cs="Arial"/>
          <w:b/>
          <w:bCs/>
          <w:color w:val="000000"/>
        </w:rPr>
        <w:t>Do roku 2031 budou mít občané všech zemí Evropské unie online přístup</w:t>
      </w:r>
      <w:r w:rsidRPr="00E168E1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E168E1">
        <w:rPr>
          <w:rStyle w:val="Strong"/>
          <w:rFonts w:ascii="Arial" w:eastAsiaTheme="majorEastAsia" w:hAnsi="Arial" w:cs="Arial"/>
          <w:color w:val="000000"/>
        </w:rPr>
        <w:t>ke</w:t>
      </w:r>
      <w:r w:rsidRPr="00E168E1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E168E1">
        <w:rPr>
          <w:rFonts w:ascii="Arial" w:hAnsi="Arial" w:cs="Arial"/>
          <w:b/>
          <w:bCs/>
          <w:color w:val="000000"/>
        </w:rPr>
        <w:t>klíčovým zdravotním dokumentům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E168E1">
        <w:rPr>
          <w:rFonts w:ascii="Arial" w:hAnsi="Arial" w:cs="Arial"/>
          <w:b/>
          <w:bCs/>
          <w:color w:val="000000"/>
        </w:rPr>
        <w:t>od receptů a laboratorních výsledků po propouštěcí zprávy. Cílem nového Evropského prostoru pro zdravotní data (EHDS) je, aby pacienti mohli sdílet své zdravotní informace bezpečně a jednotně napříč státy EU.</w:t>
      </w:r>
    </w:p>
    <w:p w14:paraId="444000C2" w14:textId="2A7B376E" w:rsidR="00E168E1" w:rsidRDefault="00E168E1" w:rsidP="00DB1193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168E1">
        <w:rPr>
          <w:rFonts w:ascii="Arial" w:hAnsi="Arial" w:cs="Arial"/>
          <w:color w:val="000000"/>
        </w:rPr>
        <w:t xml:space="preserve">Již dnes Česká republika zvládá přeshraniční výměnu pacientského souhrnu i elektronického receptu. </w:t>
      </w:r>
      <w:r w:rsidRPr="00DB1193">
        <w:rPr>
          <w:rFonts w:ascii="Arial" w:hAnsi="Arial" w:cs="Arial"/>
          <w:b/>
          <w:bCs/>
          <w:color w:val="000000"/>
        </w:rPr>
        <w:t>„</w:t>
      </w:r>
      <w:r w:rsidRPr="00DB1193">
        <w:rPr>
          <w:rFonts w:ascii="Arial" w:hAnsi="Arial" w:cs="Arial"/>
          <w:b/>
          <w:bCs/>
          <w:i/>
          <w:iCs/>
          <w:color w:val="000000"/>
        </w:rPr>
        <w:t>Není to povinné, je to stále dobrovolné, ale například eRecept přijímáme a předáváme do 13 evropských zemí,“</w:t>
      </w:r>
      <w:r w:rsidRPr="00E168E1">
        <w:rPr>
          <w:rFonts w:ascii="Arial" w:hAnsi="Arial" w:cs="Arial"/>
          <w:color w:val="000000"/>
        </w:rPr>
        <w:t xml:space="preserve"> uvedla při veřejné konzultaci </w:t>
      </w:r>
      <w:r w:rsidRPr="00DB1193">
        <w:rPr>
          <w:rFonts w:ascii="Arial" w:hAnsi="Arial" w:cs="Arial"/>
          <w:b/>
          <w:bCs/>
          <w:color w:val="000000"/>
        </w:rPr>
        <w:t>Klára Jiráková z</w:t>
      </w:r>
      <w:r w:rsidRPr="00DB1193">
        <w:rPr>
          <w:rStyle w:val="apple-converted-space"/>
          <w:rFonts w:ascii="Arial" w:eastAsiaTheme="majorEastAsia" w:hAnsi="Arial" w:cs="Arial"/>
          <w:b/>
          <w:bCs/>
          <w:color w:val="000000"/>
        </w:rPr>
        <w:t> </w:t>
      </w:r>
      <w:r w:rsidRPr="00DB1193">
        <w:rPr>
          <w:rStyle w:val="Strong"/>
          <w:rFonts w:ascii="Arial" w:eastAsiaTheme="majorEastAsia" w:hAnsi="Arial" w:cs="Arial"/>
          <w:color w:val="000000"/>
        </w:rPr>
        <w:t>Národního centra elektronického zdravotnictví (NCEZ) při MZ ČR</w:t>
      </w:r>
      <w:r w:rsidRPr="00E168E1">
        <w:rPr>
          <w:rFonts w:ascii="Arial" w:hAnsi="Arial" w:cs="Arial"/>
          <w:b/>
          <w:bCs/>
          <w:color w:val="000000"/>
        </w:rPr>
        <w:t>.</w:t>
      </w:r>
      <w:r w:rsidRPr="00E168E1">
        <w:rPr>
          <w:rFonts w:ascii="Arial" w:hAnsi="Arial" w:cs="Arial"/>
          <w:color w:val="000000"/>
        </w:rPr>
        <w:t xml:space="preserve"> </w:t>
      </w:r>
    </w:p>
    <w:p w14:paraId="0EF9F4EE" w14:textId="57932D5C" w:rsidR="00E168E1" w:rsidRPr="00E168E1" w:rsidRDefault="00E168E1" w:rsidP="00DB1193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168E1">
        <w:rPr>
          <w:rFonts w:ascii="Arial" w:hAnsi="Arial" w:cs="Arial"/>
          <w:color w:val="000000"/>
        </w:rPr>
        <w:t>Nový evropský harmonogram však postupně zavádí povinnost sdílet zdravotní data ve všech členských státech.</w:t>
      </w:r>
    </w:p>
    <w:p w14:paraId="2636059C" w14:textId="77777777" w:rsidR="00E168E1" w:rsidRPr="00E168E1" w:rsidRDefault="00E168E1" w:rsidP="00DB119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168E1">
        <w:rPr>
          <w:rFonts w:ascii="Arial" w:hAnsi="Arial" w:cs="Arial"/>
          <w:b/>
          <w:bCs/>
          <w:color w:val="000000"/>
        </w:rPr>
        <w:t>Od března 2029</w:t>
      </w:r>
      <w:r w:rsidRPr="00E168E1">
        <w:rPr>
          <w:rFonts w:ascii="Arial" w:hAnsi="Arial" w:cs="Arial"/>
          <w:color w:val="000000"/>
        </w:rPr>
        <w:t xml:space="preserve"> musí být povinně k dispozici pacientský souhrn a elektronický recept.</w:t>
      </w:r>
    </w:p>
    <w:p w14:paraId="0181FF87" w14:textId="4047A267" w:rsidR="00E168E1" w:rsidRPr="00E168E1" w:rsidRDefault="00E168E1" w:rsidP="00DB1193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</w:rPr>
      </w:pPr>
      <w:r w:rsidRPr="00E168E1">
        <w:rPr>
          <w:rFonts w:ascii="Arial" w:hAnsi="Arial" w:cs="Arial"/>
          <w:b/>
          <w:bCs/>
          <w:color w:val="000000"/>
        </w:rPr>
        <w:t>Od března 2031</w:t>
      </w:r>
      <w:r w:rsidRPr="00E168E1">
        <w:rPr>
          <w:rFonts w:ascii="Arial" w:hAnsi="Arial" w:cs="Arial"/>
          <w:color w:val="000000"/>
        </w:rPr>
        <w:t xml:space="preserve"> se povinnost rozšíří i na další dokumenty – </w:t>
      </w:r>
      <w:r w:rsidR="00A4230F">
        <w:rPr>
          <w:rFonts w:ascii="Arial" w:hAnsi="Arial" w:cs="Arial"/>
          <w:color w:val="000000"/>
        </w:rPr>
        <w:t>obrazovou dokumentaci</w:t>
      </w:r>
      <w:r w:rsidRPr="00E168E1">
        <w:rPr>
          <w:rFonts w:ascii="Arial" w:hAnsi="Arial" w:cs="Arial"/>
          <w:color w:val="000000"/>
        </w:rPr>
        <w:t>, laboratorní výsledky</w:t>
      </w:r>
      <w:r>
        <w:rPr>
          <w:rFonts w:ascii="Arial" w:hAnsi="Arial" w:cs="Arial"/>
          <w:color w:val="000000"/>
        </w:rPr>
        <w:t xml:space="preserve"> a</w:t>
      </w:r>
      <w:r w:rsidRPr="00E168E1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168E1">
        <w:rPr>
          <w:rFonts w:ascii="Arial" w:hAnsi="Arial" w:cs="Arial"/>
          <w:color w:val="000000"/>
        </w:rPr>
        <w:t>propouštěcí zprávy.</w:t>
      </w:r>
    </w:p>
    <w:p w14:paraId="733486F3" w14:textId="05C56567" w:rsidR="00E168E1" w:rsidRPr="00E168E1" w:rsidRDefault="00E168E1" w:rsidP="00DB1193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E168E1">
        <w:rPr>
          <w:rFonts w:ascii="Arial" w:hAnsi="Arial" w:cs="Arial"/>
          <w:color w:val="000000"/>
        </w:rPr>
        <w:t xml:space="preserve">Více než </w:t>
      </w:r>
      <w:r w:rsidR="00766EC2">
        <w:rPr>
          <w:rFonts w:ascii="Arial" w:hAnsi="Arial" w:cs="Arial"/>
          <w:color w:val="000000"/>
        </w:rPr>
        <w:t>95</w:t>
      </w:r>
      <w:r w:rsidRPr="00E168E1">
        <w:rPr>
          <w:rFonts w:ascii="Arial" w:hAnsi="Arial" w:cs="Arial"/>
          <w:color w:val="000000"/>
        </w:rPr>
        <w:t xml:space="preserve"> odborníků z oblasti zdravotnictví a IT diskutovalo na veřejné konzultaci o podobě pacientského souhrnu, propouštěcí zprávy i o systému posuzování shody softwaru. Akci uspořádalo Národní centrum elektronického zdravotnictví (NCEZ) ve spolupráci s Krajem Vysočina v rámci projektu </w:t>
      </w:r>
      <w:proofErr w:type="spellStart"/>
      <w:r w:rsidRPr="00E168E1">
        <w:rPr>
          <w:rFonts w:ascii="Arial" w:hAnsi="Arial" w:cs="Arial"/>
          <w:color w:val="000000"/>
        </w:rPr>
        <w:t>Xt</w:t>
      </w:r>
      <w:proofErr w:type="spellEnd"/>
      <w:r w:rsidRPr="00E168E1">
        <w:rPr>
          <w:rFonts w:ascii="Arial" w:hAnsi="Arial" w:cs="Arial"/>
          <w:color w:val="000000"/>
        </w:rPr>
        <w:t>-EHR. Cílem bylo zapojit české odborníky do diskuse o evropských standardech zdravotních dat.</w:t>
      </w:r>
    </w:p>
    <w:p w14:paraId="412A1F3A" w14:textId="77777777" w:rsidR="00E168E1" w:rsidRPr="00E168E1" w:rsidRDefault="00E168E1" w:rsidP="00DB1193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DB1193">
        <w:rPr>
          <w:rFonts w:ascii="Arial" w:hAnsi="Arial" w:cs="Arial"/>
          <w:b/>
          <w:bCs/>
          <w:color w:val="000000"/>
        </w:rPr>
        <w:lastRenderedPageBreak/>
        <w:t>„</w:t>
      </w:r>
      <w:r w:rsidRPr="00DB1193">
        <w:rPr>
          <w:rFonts w:ascii="Arial" w:hAnsi="Arial" w:cs="Arial"/>
          <w:b/>
          <w:bCs/>
          <w:i/>
          <w:iCs/>
          <w:color w:val="000000"/>
        </w:rPr>
        <w:t xml:space="preserve">Zapojení do projektu </w:t>
      </w:r>
      <w:proofErr w:type="spellStart"/>
      <w:r w:rsidRPr="00DB1193">
        <w:rPr>
          <w:rFonts w:ascii="Arial" w:hAnsi="Arial" w:cs="Arial"/>
          <w:b/>
          <w:bCs/>
          <w:i/>
          <w:iCs/>
          <w:color w:val="000000"/>
        </w:rPr>
        <w:t>Xt</w:t>
      </w:r>
      <w:proofErr w:type="spellEnd"/>
      <w:r w:rsidRPr="00DB1193">
        <w:rPr>
          <w:rFonts w:ascii="Arial" w:hAnsi="Arial" w:cs="Arial"/>
          <w:b/>
          <w:bCs/>
          <w:i/>
          <w:iCs/>
          <w:color w:val="000000"/>
        </w:rPr>
        <w:t>-EHR nám umožňuje prosazovat české zkušenosti a potřeby v evropské debatě o budoucnosti zdravotních dat. Jde o zásadní krok k tomu, aby měli pacienti bezpečný a snadný přístup ke svým údajům a aby poskytovatelé zdravotních služeb mohli využívat interoperabilní systémy napříč Evropou,“</w:t>
      </w:r>
      <w:r w:rsidRPr="00E168E1">
        <w:rPr>
          <w:rFonts w:ascii="Arial" w:hAnsi="Arial" w:cs="Arial"/>
          <w:color w:val="000000"/>
        </w:rPr>
        <w:t xml:space="preserve"> uvedl </w:t>
      </w:r>
      <w:r w:rsidRPr="00DB1193">
        <w:rPr>
          <w:rFonts w:ascii="Arial" w:hAnsi="Arial" w:cs="Arial"/>
          <w:b/>
          <w:bCs/>
          <w:color w:val="000000"/>
        </w:rPr>
        <w:t>Petr Foltýn, ředitel NCEZ</w:t>
      </w:r>
      <w:r w:rsidRPr="00E168E1">
        <w:rPr>
          <w:rFonts w:ascii="Arial" w:hAnsi="Arial" w:cs="Arial"/>
          <w:color w:val="000000"/>
        </w:rPr>
        <w:t>.</w:t>
      </w:r>
    </w:p>
    <w:p w14:paraId="35AE8508" w14:textId="77777777" w:rsidR="00CD64B6" w:rsidRDefault="00E168E1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E168E1">
        <w:rPr>
          <w:rFonts w:ascii="Arial" w:hAnsi="Arial" w:cs="Arial"/>
          <w:color w:val="000000"/>
        </w:rPr>
        <w:t>Pro pacienty to bude znamenat větší kontrolu nad jejich daty: budou mít přehled o tom, kdo do jejich dokumentace nahlíží, budou moci omezit či povolit přístup jiným osobám</w:t>
      </w:r>
      <w:r w:rsidR="00A4230F">
        <w:rPr>
          <w:rFonts w:ascii="Arial" w:hAnsi="Arial" w:cs="Arial"/>
          <w:color w:val="000000"/>
        </w:rPr>
        <w:t xml:space="preserve"> ke zdravotnické </w:t>
      </w:r>
      <w:r w:rsidR="00C26A72">
        <w:rPr>
          <w:rFonts w:ascii="Arial" w:hAnsi="Arial" w:cs="Arial"/>
          <w:color w:val="000000"/>
        </w:rPr>
        <w:t>dokumentaci,</w:t>
      </w:r>
      <w:r w:rsidRPr="00E168E1">
        <w:rPr>
          <w:rFonts w:ascii="Arial" w:hAnsi="Arial" w:cs="Arial"/>
          <w:color w:val="000000"/>
        </w:rPr>
        <w:t xml:space="preserve"> a především při cestách po EU bude jejich zdravotní historie dostupná okamžitě a v</w:t>
      </w:r>
      <w:r>
        <w:rPr>
          <w:rFonts w:ascii="Arial" w:hAnsi="Arial" w:cs="Arial"/>
          <w:color w:val="000000"/>
        </w:rPr>
        <w:t> </w:t>
      </w:r>
      <w:r w:rsidRPr="00E168E1">
        <w:rPr>
          <w:rFonts w:ascii="Arial" w:hAnsi="Arial" w:cs="Arial"/>
          <w:color w:val="000000"/>
        </w:rPr>
        <w:t>bezpečné</w:t>
      </w:r>
      <w:r>
        <w:rPr>
          <w:rFonts w:ascii="Arial" w:hAnsi="Arial" w:cs="Arial"/>
          <w:color w:val="000000"/>
        </w:rPr>
        <w:t xml:space="preserve"> podobě. </w:t>
      </w:r>
      <w:r w:rsidRPr="00E168E1">
        <w:rPr>
          <w:rStyle w:val="Strong"/>
          <w:rFonts w:ascii="Arial" w:eastAsiaTheme="majorEastAsia" w:hAnsi="Arial" w:cs="Arial"/>
          <w:b w:val="0"/>
          <w:bCs w:val="0"/>
          <w:color w:val="000000"/>
        </w:rPr>
        <w:t>Pro zdravotnická zařízení i dodavatele informačních systémů to naopak znamená zásadní úkol.</w:t>
      </w:r>
      <w:r w:rsidRPr="00E168E1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E168E1">
        <w:rPr>
          <w:rFonts w:ascii="Arial" w:hAnsi="Arial" w:cs="Arial"/>
          <w:color w:val="000000"/>
        </w:rPr>
        <w:t>Od roku 2029 budou muset své systémy přizpůsobit evropským standardům, aby dokázaly data jednotně předávat i přijímat</w:t>
      </w:r>
      <w:r w:rsidR="00CD54D9">
        <w:rPr>
          <w:rFonts w:ascii="Arial" w:hAnsi="Arial" w:cs="Arial"/>
          <w:color w:val="000000"/>
        </w:rPr>
        <w:t>.</w:t>
      </w:r>
    </w:p>
    <w:p w14:paraId="3D68C3E3" w14:textId="77777777" w:rsidR="00DB1193" w:rsidRDefault="00DB1193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39B4BC52" w14:textId="05FA0F62" w:rsidR="00DB1193" w:rsidRPr="00DB1193" w:rsidRDefault="00DB1193" w:rsidP="00DB1193">
      <w:pPr>
        <w:pStyle w:val="NormalWeb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DB1193">
        <w:rPr>
          <w:rFonts w:ascii="Arial" w:hAnsi="Arial" w:cs="Arial"/>
          <w:b/>
          <w:bCs/>
          <w:color w:val="000000"/>
        </w:rPr>
        <w:t>Odbor Národní centrum elektronického zdravotnictví (NCEZ)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B1193">
        <w:rPr>
          <w:rFonts w:ascii="Arial" w:hAnsi="Arial" w:cs="Arial"/>
          <w:color w:val="000000"/>
        </w:rPr>
        <w:t>z</w:t>
      </w:r>
      <w:r w:rsidRPr="00DB1193">
        <w:rPr>
          <w:rFonts w:ascii="Arial" w:hAnsi="Arial" w:cs="Arial"/>
          <w:color w:val="000000"/>
        </w:rPr>
        <w:t>abezpečuje činnost vnitrostátní sítě pro elektronické zdravotnictví zřízené podle Doporučení EK 2019/243 (</w:t>
      </w:r>
      <w:proofErr w:type="spellStart"/>
      <w:r w:rsidRPr="00DB1193">
        <w:rPr>
          <w:rFonts w:ascii="Arial" w:hAnsi="Arial" w:cs="Arial"/>
          <w:color w:val="000000"/>
        </w:rPr>
        <w:t>National</w:t>
      </w:r>
      <w:proofErr w:type="spellEnd"/>
      <w:r w:rsidRPr="00DB1193">
        <w:rPr>
          <w:rFonts w:ascii="Arial" w:hAnsi="Arial" w:cs="Arial"/>
          <w:color w:val="000000"/>
        </w:rPr>
        <w:t xml:space="preserve"> Digital </w:t>
      </w:r>
      <w:proofErr w:type="spellStart"/>
      <w:r w:rsidRPr="00DB1193">
        <w:rPr>
          <w:rFonts w:ascii="Arial" w:hAnsi="Arial" w:cs="Arial"/>
          <w:color w:val="000000"/>
        </w:rPr>
        <w:t>Health</w:t>
      </w:r>
      <w:proofErr w:type="spellEnd"/>
      <w:r w:rsidRPr="00DB1193">
        <w:rPr>
          <w:rFonts w:ascii="Arial" w:hAnsi="Arial" w:cs="Arial"/>
          <w:color w:val="000000"/>
        </w:rPr>
        <w:t xml:space="preserve"> Network), zahrnující zástupce příslušných vnitrostátních a regionálních orgánů zabývajících se otázkami elektronického zdravotnictví, interoperability elektronických zdravotních záznamů, bezpečnosti sítí a informačních systémů a ochrany osobních údajů.</w:t>
      </w:r>
      <w:r>
        <w:rPr>
          <w:rFonts w:ascii="Arial" w:hAnsi="Arial" w:cs="Arial"/>
          <w:color w:val="000000"/>
        </w:rPr>
        <w:t xml:space="preserve"> </w:t>
      </w:r>
      <w:r w:rsidRPr="00DB1193">
        <w:rPr>
          <w:rFonts w:ascii="Arial" w:hAnsi="Arial" w:cs="Arial"/>
          <w:b/>
          <w:bCs/>
          <w:color w:val="000000"/>
        </w:rPr>
        <w:t>Více informací www.</w:t>
      </w:r>
      <w:r w:rsidRPr="00DB1193">
        <w:rPr>
          <w:b/>
          <w:bCs/>
        </w:rPr>
        <w:t xml:space="preserve"> </w:t>
      </w:r>
      <w:r w:rsidRPr="00DB1193">
        <w:rPr>
          <w:rFonts w:ascii="Arial" w:hAnsi="Arial" w:cs="Arial"/>
          <w:b/>
          <w:bCs/>
          <w:color w:val="000000"/>
        </w:rPr>
        <w:t>ncez.mzcr.cz</w:t>
      </w:r>
    </w:p>
    <w:p w14:paraId="65A96CA1" w14:textId="77777777" w:rsidR="00DB1193" w:rsidRPr="00DB1193" w:rsidRDefault="00DB1193" w:rsidP="00DB1193">
      <w:pPr>
        <w:pStyle w:val="NormalWeb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FB94A56" w14:textId="77777777" w:rsidR="00DB1193" w:rsidRPr="00DB1193" w:rsidRDefault="00DB1193" w:rsidP="00DB1193">
      <w:pPr>
        <w:pStyle w:val="NormalWeb"/>
        <w:spacing w:after="0" w:line="360" w:lineRule="auto"/>
        <w:jc w:val="both"/>
        <w:rPr>
          <w:rFonts w:ascii="Arial" w:hAnsi="Arial" w:cs="Arial"/>
          <w:color w:val="000000"/>
        </w:rPr>
      </w:pPr>
      <w:r w:rsidRPr="00DB1193">
        <w:rPr>
          <w:rFonts w:ascii="Arial" w:hAnsi="Arial" w:cs="Arial"/>
          <w:color w:val="000000"/>
        </w:rPr>
        <w:t>Zabezpečuje správu centrálně budované infrastruktury elektronického zdravotnictví realizovanou pověřenými organizacemi v roli technického správce a provozovatele.</w:t>
      </w:r>
    </w:p>
    <w:p w14:paraId="726583A8" w14:textId="77777777" w:rsidR="00DB1193" w:rsidRPr="00DB1193" w:rsidRDefault="00DB1193" w:rsidP="00DB1193">
      <w:pPr>
        <w:pStyle w:val="NormalWeb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ECC3052" w14:textId="77777777" w:rsidR="00DB1193" w:rsidRDefault="00DB1193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DB1193">
        <w:rPr>
          <w:rFonts w:ascii="Arial" w:hAnsi="Arial" w:cs="Arial"/>
          <w:color w:val="000000"/>
        </w:rPr>
        <w:t>Spolupracuje na vydávání a samostatně vydává odborná stanoviska v oblasti digitalizace zdravotnictví. Řeší úkoly vyplývající ze závazných ujednání orgánů EU v této odbornosti.</w:t>
      </w:r>
    </w:p>
    <w:p w14:paraId="77B3ED46" w14:textId="77777777" w:rsidR="00DB1193" w:rsidRDefault="00DB1193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614A408" w14:textId="77777777" w:rsidR="00DB1193" w:rsidRDefault="00DB1193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22F89C2" w14:textId="77777777" w:rsidR="00DB1193" w:rsidRDefault="00DB1193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55498831" w14:textId="3B78A9A2" w:rsidR="00DB1193" w:rsidRPr="00E168E1" w:rsidRDefault="00DB1193" w:rsidP="00DB1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  <w:sectPr w:rsidR="00DB1193" w:rsidRPr="00E168E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48D2F5" w14:textId="3DEDE4DA" w:rsidR="00E36346" w:rsidRPr="00E36346" w:rsidRDefault="00B50199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36346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Pro více informací kontaktujte:</w:t>
      </w:r>
    </w:p>
    <w:p w14:paraId="0AFA73C3" w14:textId="3F15AA0B" w:rsidR="00B50199" w:rsidRPr="00E36346" w:rsidRDefault="00181780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36346"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PhDr. Petra Ulrichová, MBA</w:t>
      </w:r>
    </w:p>
    <w:p w14:paraId="74259105" w14:textId="351F0CB9" w:rsidR="00181780" w:rsidRDefault="00181780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Odborný garant pro komunikaci</w:t>
      </w:r>
    </w:p>
    <w:p w14:paraId="03F6709B" w14:textId="2C32143B" w:rsidR="00181780" w:rsidRDefault="00181780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M: +420 777 574</w:t>
      </w:r>
      <w:r w:rsidR="00CD64B6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 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611</w:t>
      </w:r>
    </w:p>
    <w:p w14:paraId="4B6F30EB" w14:textId="77777777" w:rsidR="00CD64B6" w:rsidRDefault="00CD64B6" w:rsidP="00DB1193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3F3B0160" w14:textId="77777777" w:rsidR="00CD64B6" w:rsidRDefault="00CD64B6" w:rsidP="00DB1193">
      <w:pPr>
        <w:pStyle w:val="NormalWeb"/>
        <w:spacing w:line="360" w:lineRule="auto"/>
        <w:jc w:val="both"/>
        <w:rPr>
          <w:rFonts w:ascii="Calibri" w:hAnsi="Calibri" w:cs="Calibri"/>
          <w:sz w:val="2"/>
          <w:szCs w:val="2"/>
        </w:rPr>
      </w:pPr>
    </w:p>
    <w:p w14:paraId="0986183F" w14:textId="6AD0E896" w:rsidR="00181780" w:rsidRPr="00E36346" w:rsidRDefault="006724EB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b/>
          <w:bCs/>
          <w:kern w:val="2"/>
          <w:sz w:val="22"/>
          <w:szCs w:val="22"/>
          <w:lang w:eastAsia="en-US"/>
          <w14:ligatures w14:val="standardContextual"/>
        </w:rPr>
        <w:t>Jaroslav Najman</w:t>
      </w:r>
    </w:p>
    <w:p w14:paraId="0EAB6230" w14:textId="1E497B78" w:rsidR="006209D1" w:rsidRDefault="006209D1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Manažer pro </w:t>
      </w:r>
      <w:r w:rsidR="00EA536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strategickou 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komunikaci</w:t>
      </w:r>
    </w:p>
    <w:p w14:paraId="475FE3CD" w14:textId="6549C530" w:rsidR="006724EB" w:rsidRDefault="00B24AD1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M: +420</w:t>
      </w:r>
      <w:r w:rsidR="006724E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 792 314 461</w:t>
      </w:r>
    </w:p>
    <w:p w14:paraId="60310DCA" w14:textId="25B814DD" w:rsidR="006209D1" w:rsidRPr="00B50199" w:rsidRDefault="001A47F9" w:rsidP="00DB1193">
      <w:pPr>
        <w:pStyle w:val="NormalWeb"/>
        <w:spacing w:line="360" w:lineRule="auto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E: </w:t>
      </w:r>
      <w:r w:rsidR="006724EB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press@digitalizovanezdravi.cz</w:t>
      </w:r>
    </w:p>
    <w:sectPr w:rsidR="006209D1" w:rsidRPr="00B50199" w:rsidSect="00CD64B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1956" w14:textId="77777777" w:rsidR="006B34A7" w:rsidRDefault="006B34A7" w:rsidP="00B50199">
      <w:pPr>
        <w:spacing w:after="0" w:line="240" w:lineRule="auto"/>
      </w:pPr>
      <w:r>
        <w:separator/>
      </w:r>
    </w:p>
  </w:endnote>
  <w:endnote w:type="continuationSeparator" w:id="0">
    <w:p w14:paraId="0FA61903" w14:textId="77777777" w:rsidR="006B34A7" w:rsidRDefault="006B34A7" w:rsidP="00B5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2E2F" w14:textId="77777777" w:rsidR="006B34A7" w:rsidRDefault="006B34A7" w:rsidP="00B50199">
      <w:pPr>
        <w:spacing w:after="0" w:line="240" w:lineRule="auto"/>
      </w:pPr>
      <w:r>
        <w:separator/>
      </w:r>
    </w:p>
  </w:footnote>
  <w:footnote w:type="continuationSeparator" w:id="0">
    <w:p w14:paraId="22E5B78B" w14:textId="77777777" w:rsidR="006B34A7" w:rsidRDefault="006B34A7" w:rsidP="00B5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F77" w14:textId="2E2C2433" w:rsidR="00B50199" w:rsidRDefault="00B50199" w:rsidP="00B5019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209045" wp14:editId="5E471C24">
          <wp:simplePos x="0" y="0"/>
          <wp:positionH relativeFrom="column">
            <wp:posOffset>-232616</wp:posOffset>
          </wp:positionH>
          <wp:positionV relativeFrom="paragraph">
            <wp:posOffset>1941</wp:posOffset>
          </wp:positionV>
          <wp:extent cx="6318693" cy="769638"/>
          <wp:effectExtent l="0" t="0" r="6350" b="5080"/>
          <wp:wrapTight wrapText="bothSides">
            <wp:wrapPolygon edited="0">
              <wp:start x="0" y="0"/>
              <wp:lineTo x="0" y="21386"/>
              <wp:lineTo x="21578" y="21386"/>
              <wp:lineTo x="21578" y="0"/>
              <wp:lineTo x="0" y="0"/>
            </wp:wrapPolygon>
          </wp:wrapTight>
          <wp:docPr id="1563455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89600" name="Picture 1104689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8693" cy="76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645BA"/>
    <w:multiLevelType w:val="multilevel"/>
    <w:tmpl w:val="41CE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C4FBB"/>
    <w:multiLevelType w:val="hybridMultilevel"/>
    <w:tmpl w:val="10B8C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A0C62"/>
    <w:multiLevelType w:val="multilevel"/>
    <w:tmpl w:val="7FC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244750">
    <w:abstractNumId w:val="1"/>
  </w:num>
  <w:num w:numId="2" w16cid:durableId="2022273615">
    <w:abstractNumId w:val="2"/>
  </w:num>
  <w:num w:numId="3" w16cid:durableId="159200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D"/>
    <w:rsid w:val="00097E12"/>
    <w:rsid w:val="000A74A9"/>
    <w:rsid w:val="000B4DA3"/>
    <w:rsid w:val="000E6844"/>
    <w:rsid w:val="000E709A"/>
    <w:rsid w:val="000F109B"/>
    <w:rsid w:val="000F4614"/>
    <w:rsid w:val="00104432"/>
    <w:rsid w:val="00181780"/>
    <w:rsid w:val="001A47F9"/>
    <w:rsid w:val="001C3234"/>
    <w:rsid w:val="001D544D"/>
    <w:rsid w:val="001F30CA"/>
    <w:rsid w:val="00207C65"/>
    <w:rsid w:val="002B5FB8"/>
    <w:rsid w:val="002D097C"/>
    <w:rsid w:val="00347976"/>
    <w:rsid w:val="003671E2"/>
    <w:rsid w:val="00374460"/>
    <w:rsid w:val="00374829"/>
    <w:rsid w:val="003A19AF"/>
    <w:rsid w:val="003D38FE"/>
    <w:rsid w:val="003E7262"/>
    <w:rsid w:val="00402FF4"/>
    <w:rsid w:val="00406CBD"/>
    <w:rsid w:val="004215DB"/>
    <w:rsid w:val="0044290A"/>
    <w:rsid w:val="00450C2B"/>
    <w:rsid w:val="00452311"/>
    <w:rsid w:val="0046792A"/>
    <w:rsid w:val="004C46C0"/>
    <w:rsid w:val="004D0F6E"/>
    <w:rsid w:val="005532FF"/>
    <w:rsid w:val="005679CD"/>
    <w:rsid w:val="005A39F3"/>
    <w:rsid w:val="005B654B"/>
    <w:rsid w:val="005F3A2B"/>
    <w:rsid w:val="006058DE"/>
    <w:rsid w:val="006149C8"/>
    <w:rsid w:val="00616613"/>
    <w:rsid w:val="006209D1"/>
    <w:rsid w:val="00622FED"/>
    <w:rsid w:val="006619C8"/>
    <w:rsid w:val="006724EB"/>
    <w:rsid w:val="00682ED9"/>
    <w:rsid w:val="00683007"/>
    <w:rsid w:val="00691289"/>
    <w:rsid w:val="006B34A7"/>
    <w:rsid w:val="006C385D"/>
    <w:rsid w:val="00714719"/>
    <w:rsid w:val="00716D93"/>
    <w:rsid w:val="0076634E"/>
    <w:rsid w:val="00766EC2"/>
    <w:rsid w:val="007759B1"/>
    <w:rsid w:val="00775A36"/>
    <w:rsid w:val="00783098"/>
    <w:rsid w:val="00792A64"/>
    <w:rsid w:val="00793A9C"/>
    <w:rsid w:val="007A7243"/>
    <w:rsid w:val="007D6B7E"/>
    <w:rsid w:val="007F4ED5"/>
    <w:rsid w:val="00857E94"/>
    <w:rsid w:val="008623D1"/>
    <w:rsid w:val="00883E01"/>
    <w:rsid w:val="008A4C40"/>
    <w:rsid w:val="008C5532"/>
    <w:rsid w:val="008C6F25"/>
    <w:rsid w:val="008F167B"/>
    <w:rsid w:val="00906A77"/>
    <w:rsid w:val="00970180"/>
    <w:rsid w:val="009C264C"/>
    <w:rsid w:val="009D498B"/>
    <w:rsid w:val="009E5F48"/>
    <w:rsid w:val="00A4127F"/>
    <w:rsid w:val="00A4230F"/>
    <w:rsid w:val="00A429C6"/>
    <w:rsid w:val="00A607C4"/>
    <w:rsid w:val="00AA679E"/>
    <w:rsid w:val="00AD63F3"/>
    <w:rsid w:val="00AF54D1"/>
    <w:rsid w:val="00B24AD1"/>
    <w:rsid w:val="00B50199"/>
    <w:rsid w:val="00B57356"/>
    <w:rsid w:val="00B86A0A"/>
    <w:rsid w:val="00B93F2E"/>
    <w:rsid w:val="00BB785F"/>
    <w:rsid w:val="00BF01E2"/>
    <w:rsid w:val="00BF281D"/>
    <w:rsid w:val="00BF596D"/>
    <w:rsid w:val="00C26A72"/>
    <w:rsid w:val="00C60D09"/>
    <w:rsid w:val="00C63734"/>
    <w:rsid w:val="00CD54D9"/>
    <w:rsid w:val="00CD64B6"/>
    <w:rsid w:val="00CF0143"/>
    <w:rsid w:val="00D458B2"/>
    <w:rsid w:val="00DA3DD6"/>
    <w:rsid w:val="00DB1193"/>
    <w:rsid w:val="00DC4EC8"/>
    <w:rsid w:val="00DE5573"/>
    <w:rsid w:val="00DF0B68"/>
    <w:rsid w:val="00DF5219"/>
    <w:rsid w:val="00E168E1"/>
    <w:rsid w:val="00E36346"/>
    <w:rsid w:val="00E41A32"/>
    <w:rsid w:val="00E52D96"/>
    <w:rsid w:val="00E57B2A"/>
    <w:rsid w:val="00E8204B"/>
    <w:rsid w:val="00E875A0"/>
    <w:rsid w:val="00E933C7"/>
    <w:rsid w:val="00E94EA3"/>
    <w:rsid w:val="00E95F3F"/>
    <w:rsid w:val="00EA536B"/>
    <w:rsid w:val="00EE2EA0"/>
    <w:rsid w:val="00EF3B60"/>
    <w:rsid w:val="00F24224"/>
    <w:rsid w:val="00F302E6"/>
    <w:rsid w:val="00F52211"/>
    <w:rsid w:val="00F6344B"/>
    <w:rsid w:val="00F7142D"/>
    <w:rsid w:val="00FB48D9"/>
    <w:rsid w:val="00FC47BD"/>
    <w:rsid w:val="00F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5F541C"/>
  <w15:chartTrackingRefBased/>
  <w15:docId w15:val="{FFB9B717-9DA7-49B9-8DFB-1043062C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4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F3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F3B60"/>
    <w:rPr>
      <w:b/>
      <w:bCs/>
    </w:rPr>
  </w:style>
  <w:style w:type="character" w:styleId="Emphasis">
    <w:name w:val="Emphasis"/>
    <w:basedOn w:val="DefaultParagraphFont"/>
    <w:uiPriority w:val="20"/>
    <w:qFormat/>
    <w:rsid w:val="00EF3B6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99"/>
  </w:style>
  <w:style w:type="paragraph" w:styleId="Footer">
    <w:name w:val="footer"/>
    <w:basedOn w:val="Normal"/>
    <w:link w:val="FooterChar"/>
    <w:uiPriority w:val="99"/>
    <w:unhideWhenUsed/>
    <w:rsid w:val="00B50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99"/>
  </w:style>
  <w:style w:type="paragraph" w:styleId="Revision">
    <w:name w:val="Revision"/>
    <w:hidden/>
    <w:uiPriority w:val="99"/>
    <w:semiHidden/>
    <w:rsid w:val="00A42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66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4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1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1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0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421B-90E4-4D03-A360-71286CFE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Hotová / APSS ČR</dc:creator>
  <cp:keywords/>
  <dc:description/>
  <cp:lastModifiedBy>Petra Ulrichová</cp:lastModifiedBy>
  <cp:revision>12</cp:revision>
  <dcterms:created xsi:type="dcterms:W3CDTF">2025-08-21T14:04:00Z</dcterms:created>
  <dcterms:modified xsi:type="dcterms:W3CDTF">2025-09-01T05:52:00Z</dcterms:modified>
</cp:coreProperties>
</file>