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A3C" w:rsidRPr="001E7435" w:rsidRDefault="005C0A3C" w:rsidP="005C0A3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1E7435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Hiszpania, Tajlandia, Bliski Wschód – gdzie dziś lokować kapitał w nieruchomościach?</w:t>
      </w:r>
    </w:p>
    <w:p w:rsidR="005C0A3C" w:rsidRPr="001E7435" w:rsidRDefault="005C0A3C" w:rsidP="001E7435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E7435">
        <w:rPr>
          <w:rFonts w:eastAsia="Times New Roman" w:cstheme="minorHAnsi"/>
          <w:iCs/>
          <w:sz w:val="28"/>
          <w:szCs w:val="28"/>
          <w:lang w:eastAsia="pl-PL"/>
        </w:rPr>
        <w:t>Polscy inwestorzy coraz śmielej wychodzą poza krajowy rynek nieruchomości. Pytanie nie brzmi</w:t>
      </w:r>
      <w:r w:rsidR="001E7435">
        <w:rPr>
          <w:rFonts w:eastAsia="Times New Roman" w:cstheme="minorHAnsi"/>
          <w:iCs/>
          <w:sz w:val="28"/>
          <w:szCs w:val="28"/>
          <w:lang w:eastAsia="pl-PL"/>
        </w:rPr>
        <w:t xml:space="preserve"> już „czy inwestować za granicą”, ale „gdzie i z jakim celem”</w:t>
      </w:r>
      <w:r w:rsidRPr="001E7435">
        <w:rPr>
          <w:rFonts w:eastAsia="Times New Roman" w:cstheme="minorHAnsi"/>
          <w:iCs/>
          <w:sz w:val="28"/>
          <w:szCs w:val="28"/>
          <w:lang w:eastAsia="pl-PL"/>
        </w:rPr>
        <w:t xml:space="preserve">. Costa del </w:t>
      </w:r>
      <w:proofErr w:type="spellStart"/>
      <w:r w:rsidRPr="001E7435">
        <w:rPr>
          <w:rFonts w:eastAsia="Times New Roman" w:cstheme="minorHAnsi"/>
          <w:iCs/>
          <w:sz w:val="28"/>
          <w:szCs w:val="28"/>
          <w:lang w:eastAsia="pl-PL"/>
        </w:rPr>
        <w:t>Sol</w:t>
      </w:r>
      <w:proofErr w:type="spellEnd"/>
      <w:r w:rsidRPr="001E7435">
        <w:rPr>
          <w:rFonts w:eastAsia="Times New Roman" w:cstheme="minorHAnsi"/>
          <w:iCs/>
          <w:sz w:val="28"/>
          <w:szCs w:val="28"/>
          <w:lang w:eastAsia="pl-PL"/>
        </w:rPr>
        <w:t>, tajskie</w:t>
      </w:r>
      <w:r w:rsidR="001E7435">
        <w:rPr>
          <w:rFonts w:eastAsia="Times New Roman" w:cstheme="minorHAnsi"/>
          <w:iCs/>
          <w:sz w:val="28"/>
          <w:szCs w:val="28"/>
          <w:lang w:eastAsia="pl-PL"/>
        </w:rPr>
        <w:t xml:space="preserve"> </w:t>
      </w:r>
      <w:proofErr w:type="spellStart"/>
      <w:r w:rsidR="001E7435">
        <w:rPr>
          <w:rFonts w:eastAsia="Times New Roman" w:cstheme="minorHAnsi"/>
          <w:iCs/>
          <w:sz w:val="28"/>
          <w:szCs w:val="28"/>
          <w:lang w:eastAsia="pl-PL"/>
        </w:rPr>
        <w:t>Phuket</w:t>
      </w:r>
      <w:proofErr w:type="spellEnd"/>
      <w:r w:rsidR="001E7435">
        <w:rPr>
          <w:rFonts w:eastAsia="Times New Roman" w:cstheme="minorHAnsi"/>
          <w:iCs/>
          <w:sz w:val="28"/>
          <w:szCs w:val="28"/>
          <w:lang w:eastAsia="pl-PL"/>
        </w:rPr>
        <w:t xml:space="preserve"> i omański Maskat kuszą,</w:t>
      </w:r>
      <w:r w:rsidRPr="001E7435">
        <w:rPr>
          <w:rFonts w:eastAsia="Times New Roman" w:cstheme="minorHAnsi"/>
          <w:iCs/>
          <w:sz w:val="28"/>
          <w:szCs w:val="28"/>
          <w:lang w:eastAsia="pl-PL"/>
        </w:rPr>
        <w:t xml:space="preserve"> ale każdy z tych rynków </w:t>
      </w:r>
      <w:r w:rsidR="001E7435">
        <w:rPr>
          <w:rFonts w:eastAsia="Times New Roman" w:cstheme="minorHAnsi"/>
          <w:iCs/>
          <w:sz w:val="28"/>
          <w:szCs w:val="28"/>
          <w:lang w:eastAsia="pl-PL"/>
        </w:rPr>
        <w:t>odpowiada na inne potrzeby inwestycyjne.</w:t>
      </w:r>
    </w:p>
    <w:p w:rsidR="001E7435" w:rsidRDefault="005C0A3C" w:rsidP="005C0A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E7435">
        <w:rPr>
          <w:rFonts w:eastAsia="Times New Roman" w:cstheme="minorHAnsi"/>
          <w:sz w:val="28"/>
          <w:szCs w:val="28"/>
          <w:lang w:eastAsia="pl-PL"/>
        </w:rPr>
        <w:t xml:space="preserve">Kto szuka przede wszystkim bezpieczeństwa kapitału i przewidywalnego wzrostu wartości, ten zwykle </w:t>
      </w:r>
      <w:r w:rsidR="001E7435">
        <w:rPr>
          <w:rFonts w:eastAsia="Times New Roman" w:cstheme="minorHAnsi"/>
          <w:sz w:val="28"/>
          <w:szCs w:val="28"/>
          <w:lang w:eastAsia="pl-PL"/>
        </w:rPr>
        <w:t xml:space="preserve">zaczyna od 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Hiszpanii. Costa del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 zamknęła 2025 rok z rekordami: średnia cena metra kwadratowego w prowincji Malaga wzrosła o 13,8 proc., a w samej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Marbelli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 segment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premium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 przekroczył 5200 euro za metr. </w:t>
      </w:r>
    </w:p>
    <w:p w:rsidR="005C0A3C" w:rsidRPr="001E7435" w:rsidRDefault="001E7435" w:rsidP="005C0A3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1E7435">
        <w:rPr>
          <w:rFonts w:eastAsia="Times New Roman" w:cstheme="minorHAnsi"/>
          <w:sz w:val="28"/>
          <w:szCs w:val="28"/>
          <w:lang w:eastAsia="pl-PL"/>
        </w:rPr>
        <w:t>–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C0A3C" w:rsidRPr="001E7435">
        <w:rPr>
          <w:rFonts w:eastAsia="Times New Roman" w:cstheme="minorHAnsi"/>
          <w:sz w:val="28"/>
          <w:szCs w:val="28"/>
          <w:lang w:eastAsia="pl-PL"/>
        </w:rPr>
        <w:t xml:space="preserve">Popyt napędza ograniczona podaż gruntów, stały napływ zagranicznego </w:t>
      </w:r>
      <w:r>
        <w:rPr>
          <w:rFonts w:eastAsia="Times New Roman" w:cstheme="minorHAnsi"/>
          <w:sz w:val="28"/>
          <w:szCs w:val="28"/>
          <w:lang w:eastAsia="pl-PL"/>
        </w:rPr>
        <w:t xml:space="preserve">kapitału i całoroczna turystyka. 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Obserwujemy </w:t>
      </w:r>
      <w:r>
        <w:rPr>
          <w:rFonts w:eastAsia="Times New Roman" w:cstheme="minorHAnsi"/>
          <w:sz w:val="28"/>
          <w:szCs w:val="28"/>
          <w:lang w:eastAsia="pl-PL"/>
        </w:rPr>
        <w:t>umocnienie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 pozycji Costa del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 jako strategicznej lokalizacji dla nieruchomo</w:t>
      </w:r>
      <w:r>
        <w:rPr>
          <w:rFonts w:eastAsia="Times New Roman" w:cstheme="minorHAnsi"/>
          <w:sz w:val="28"/>
          <w:szCs w:val="28"/>
          <w:lang w:eastAsia="pl-PL"/>
        </w:rPr>
        <w:t xml:space="preserve">ści ze średniej i wyższej półki – wyjaśnia </w:t>
      </w:r>
      <w:r w:rsidR="005C0A3C" w:rsidRPr="001E7435">
        <w:rPr>
          <w:rFonts w:eastAsia="Times New Roman" w:cstheme="minorHAnsi"/>
          <w:bCs/>
          <w:sz w:val="28"/>
          <w:szCs w:val="28"/>
          <w:lang w:eastAsia="pl-PL"/>
        </w:rPr>
        <w:t>Joanna Ossowska-Rodziewicz, współwłaścicielka agencji nieruchomości By-</w:t>
      </w:r>
      <w:proofErr w:type="spellStart"/>
      <w:r w:rsidR="005C0A3C" w:rsidRPr="001E7435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="005C0A3C" w:rsidRPr="001E7435">
        <w:rPr>
          <w:rFonts w:eastAsia="Times New Roman" w:cstheme="minorHAnsi"/>
          <w:sz w:val="28"/>
          <w:szCs w:val="28"/>
          <w:lang w:eastAsia="pl-PL"/>
        </w:rPr>
        <w:t xml:space="preserve">. </w:t>
      </w:r>
      <w:r>
        <w:rPr>
          <w:rFonts w:eastAsia="Times New Roman" w:cstheme="minorHAnsi"/>
          <w:sz w:val="28"/>
          <w:szCs w:val="28"/>
          <w:lang w:eastAsia="pl-PL"/>
        </w:rPr>
        <w:br/>
      </w:r>
      <w:r>
        <w:rPr>
          <w:rFonts w:eastAsia="Times New Roman" w:cstheme="minorHAnsi"/>
          <w:sz w:val="28"/>
          <w:szCs w:val="28"/>
          <w:lang w:eastAsia="pl-PL"/>
        </w:rPr>
        <w:br/>
      </w:r>
      <w:r w:rsidR="00A31A0E" w:rsidRPr="00611D36">
        <w:rPr>
          <w:rFonts w:eastAsia="Times New Roman" w:cstheme="minorHAnsi"/>
          <w:b/>
          <w:sz w:val="28"/>
          <w:szCs w:val="28"/>
          <w:lang w:eastAsia="pl-PL"/>
        </w:rPr>
        <w:t>Długoterminowa perspektywa</w:t>
      </w:r>
      <w:r w:rsidR="005C0A3C" w:rsidRPr="001E7435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:rsidR="00611D36" w:rsidRDefault="005C0A3C" w:rsidP="005C0A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E7435">
        <w:rPr>
          <w:rFonts w:eastAsia="Times New Roman" w:cstheme="minorHAnsi"/>
          <w:sz w:val="28"/>
          <w:szCs w:val="28"/>
          <w:lang w:eastAsia="pl-PL"/>
        </w:rPr>
        <w:t>Jednak Hiszpania to też rynek</w:t>
      </w:r>
      <w:r w:rsidR="00A31A0E">
        <w:rPr>
          <w:rFonts w:eastAsia="Times New Roman" w:cstheme="minorHAnsi"/>
          <w:sz w:val="28"/>
          <w:szCs w:val="28"/>
          <w:lang w:eastAsia="pl-PL"/>
        </w:rPr>
        <w:t xml:space="preserve"> dla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 inwestorów</w:t>
      </w:r>
      <w:r w:rsidR="00A31A0E">
        <w:rPr>
          <w:rFonts w:eastAsia="Times New Roman" w:cstheme="minorHAnsi"/>
          <w:sz w:val="28"/>
          <w:szCs w:val="28"/>
          <w:lang w:eastAsia="pl-PL"/>
        </w:rPr>
        <w:t>, którym zależy przede wszystkim na stabilnej stopie zwrotu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. Od stycznia 2026 roku Andaluzja podniosła podatek przy szybkiej odsprzedaży powyżej 500 tys. euro do standardowych 7 proc. – przy willi za milion euro różnica wynosi 50 tys. euro w stosunku do poprzednich przepisów. </w:t>
      </w:r>
    </w:p>
    <w:p w:rsidR="005C0A3C" w:rsidRDefault="005C0A3C" w:rsidP="005C0A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E7435">
        <w:rPr>
          <w:rFonts w:eastAsia="Times New Roman" w:cstheme="minorHAnsi"/>
          <w:sz w:val="28"/>
          <w:szCs w:val="28"/>
          <w:lang w:eastAsia="pl-PL"/>
        </w:rPr>
        <w:t xml:space="preserve">– Nowe przepisy kończą czasy zarabiania na szybkim obrocie bez głębszej znajomości rynku. Dla inwestorów z długoterminową perspektywą Costa del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 pozostaje jednak bardzo atrakcyjna – ocenia </w:t>
      </w:r>
      <w:r w:rsidRPr="00A31A0E">
        <w:rPr>
          <w:rFonts w:eastAsia="Times New Roman" w:cstheme="minorHAnsi"/>
          <w:bCs/>
          <w:sz w:val="28"/>
          <w:szCs w:val="28"/>
          <w:lang w:eastAsia="pl-PL"/>
        </w:rPr>
        <w:t xml:space="preserve">Robert </w:t>
      </w:r>
      <w:proofErr w:type="spellStart"/>
      <w:r w:rsidRPr="00A31A0E">
        <w:rPr>
          <w:rFonts w:eastAsia="Times New Roman" w:cstheme="minorHAnsi"/>
          <w:bCs/>
          <w:sz w:val="28"/>
          <w:szCs w:val="28"/>
          <w:lang w:eastAsia="pl-PL"/>
        </w:rPr>
        <w:t>Reiski</w:t>
      </w:r>
      <w:proofErr w:type="spellEnd"/>
      <w:r w:rsidRPr="00A31A0E">
        <w:rPr>
          <w:rFonts w:eastAsia="Times New Roman" w:cstheme="minorHAnsi"/>
          <w:bCs/>
          <w:sz w:val="28"/>
          <w:szCs w:val="28"/>
          <w:lang w:eastAsia="pl-PL"/>
        </w:rPr>
        <w:t>, współwłaściciel By-</w:t>
      </w:r>
      <w:proofErr w:type="spellStart"/>
      <w:r w:rsidRPr="00A31A0E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Pr="00A31A0E">
        <w:rPr>
          <w:rFonts w:eastAsia="Times New Roman" w:cstheme="minorHAnsi"/>
          <w:sz w:val="28"/>
          <w:szCs w:val="28"/>
          <w:lang w:eastAsia="pl-PL"/>
        </w:rPr>
        <w:t>.</w:t>
      </w:r>
    </w:p>
    <w:p w:rsidR="00611D36" w:rsidRPr="00611D36" w:rsidRDefault="00611D36" w:rsidP="005C0A3C">
      <w:pPr>
        <w:spacing w:before="100" w:beforeAutospacing="1" w:after="100" w:afterAutospacing="1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>
        <w:rPr>
          <w:rFonts w:eastAsia="Times New Roman" w:cstheme="minorHAnsi"/>
          <w:b/>
          <w:sz w:val="28"/>
          <w:szCs w:val="28"/>
          <w:lang w:eastAsia="pl-PL"/>
        </w:rPr>
        <w:t>Dobre stopy zwrotu</w:t>
      </w:r>
    </w:p>
    <w:p w:rsidR="005C0A3C" w:rsidRPr="001E7435" w:rsidRDefault="005C0A3C" w:rsidP="005C0A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E7435">
        <w:rPr>
          <w:rFonts w:eastAsia="Times New Roman" w:cstheme="minorHAnsi"/>
          <w:sz w:val="28"/>
          <w:szCs w:val="28"/>
          <w:lang w:eastAsia="pl-PL"/>
        </w:rPr>
        <w:t xml:space="preserve">Kto z kolei chce maksymalizować bieżący zwrot z najmu, ten coraz częściej patrzy na Tajlandię – i nie bez powodu.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Phuket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 generuj</w:t>
      </w:r>
      <w:r w:rsidR="00A31A0E">
        <w:rPr>
          <w:rFonts w:eastAsia="Times New Roman" w:cstheme="minorHAnsi"/>
          <w:sz w:val="28"/>
          <w:szCs w:val="28"/>
          <w:lang w:eastAsia="pl-PL"/>
        </w:rPr>
        <w:t>e realne ROI na poziomie 6-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10 proc. netto rocznie przy wzroście wartości nieruchomości o </w:t>
      </w:r>
      <w:r w:rsidR="00A31A0E">
        <w:rPr>
          <w:rFonts w:eastAsia="Times New Roman" w:cstheme="minorHAnsi"/>
          <w:sz w:val="28"/>
          <w:szCs w:val="28"/>
          <w:lang w:eastAsia="pl-PL"/>
        </w:rPr>
        <w:t>5-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8 proc. W pierwszym półroczu 2025 r. zagraniczni nabywcy zrealizowali w Tajlandii ponad 7 tys. transakcji. Rynek jest czytelny prawnie: cudzoziemcy mogą nabywać </w:t>
      </w:r>
      <w:r w:rsidR="00A31A0E">
        <w:rPr>
          <w:rFonts w:eastAsia="Times New Roman" w:cstheme="minorHAnsi"/>
          <w:sz w:val="28"/>
          <w:szCs w:val="28"/>
          <w:lang w:eastAsia="pl-PL"/>
        </w:rPr>
        <w:t>nieruchomości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 na pełną własność, o ile udział zagranicznych właścicieli w budynku nie przekracza 49 proc.</w:t>
      </w:r>
    </w:p>
    <w:p w:rsidR="005C0A3C" w:rsidRDefault="005C0A3C" w:rsidP="005C0A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E7435">
        <w:rPr>
          <w:rFonts w:eastAsia="Times New Roman" w:cstheme="minorHAnsi"/>
          <w:sz w:val="28"/>
          <w:szCs w:val="28"/>
          <w:lang w:eastAsia="pl-PL"/>
        </w:rPr>
        <w:lastRenderedPageBreak/>
        <w:t xml:space="preserve">– Tajlandia oferuje to, czego wielu inwestorów szuka: realną dywersyfikację portfela, dobre stopy zwrotu i możliwość połączenia inwestycji z własnym użytkowaniem – mówi </w:t>
      </w:r>
      <w:r w:rsidR="00A31A0E" w:rsidRPr="00A31A0E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 w:rsidRPr="001E7435">
        <w:rPr>
          <w:rFonts w:eastAsia="Times New Roman" w:cstheme="minorHAnsi"/>
          <w:sz w:val="28"/>
          <w:szCs w:val="28"/>
          <w:lang w:eastAsia="pl-PL"/>
        </w:rPr>
        <w:t>. Warunek jest jeden: to nie jest rynek szybkiego wyjścia. Minim</w:t>
      </w:r>
      <w:r w:rsidR="00A31A0E">
        <w:rPr>
          <w:rFonts w:eastAsia="Times New Roman" w:cstheme="minorHAnsi"/>
          <w:sz w:val="28"/>
          <w:szCs w:val="28"/>
          <w:lang w:eastAsia="pl-PL"/>
        </w:rPr>
        <w:t>alny horyzont inwestycyjny to 5-</w:t>
      </w:r>
      <w:r w:rsidRPr="001E7435">
        <w:rPr>
          <w:rFonts w:eastAsia="Times New Roman" w:cstheme="minorHAnsi"/>
          <w:sz w:val="28"/>
          <w:szCs w:val="28"/>
          <w:lang w:eastAsia="pl-PL"/>
        </w:rPr>
        <w:t>7 lat, a staranność przy wyborze dewelopera ma tu znaczenie większe niż w Europie.</w:t>
      </w:r>
    </w:p>
    <w:p w:rsidR="00A31A0E" w:rsidRPr="00611D36" w:rsidRDefault="00A31A0E" w:rsidP="005C0A3C">
      <w:pPr>
        <w:spacing w:before="100" w:beforeAutospacing="1" w:after="100" w:afterAutospacing="1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 w:rsidRPr="00611D36">
        <w:rPr>
          <w:rFonts w:eastAsia="Times New Roman" w:cstheme="minorHAnsi"/>
          <w:b/>
          <w:sz w:val="28"/>
          <w:szCs w:val="28"/>
          <w:lang w:eastAsia="pl-PL"/>
        </w:rPr>
        <w:t>Inwestorzy patrzą na Oman</w:t>
      </w:r>
    </w:p>
    <w:p w:rsidR="00545F23" w:rsidRDefault="00545F23" w:rsidP="00545F2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Jak wygląda rynek nieruchomości na Bliskim Wschodzie? Przed wybuchem konfliktu Oman był postrzegany jako interesująca alternatywa dla już nasyconego rynku w Dubaju. Sułtanat przyciągał inwestorów polityczną neutralnością, stabilnością i cenami nieruchomości niższymi o ok. 25 proc. niż w ZEA. Według CNBC, Oman konsekwentnie przyciągał poszukujących bezpiecznej przystani, a tamtejszy rynek wchodził w 2026 rok z większą stabilnością niż sąsiedzi.</w:t>
      </w:r>
    </w:p>
    <w:p w:rsidR="00545F23" w:rsidRDefault="00545F23" w:rsidP="00545F2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Po wybuchu konfliktu sytuacja w całym regionie uległa gwałtownemu pogorszeniu. Goldman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Sachs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 xml:space="preserve"> szacował, że liczba transakcji w samym Dubaju spadła o 37 proc. rok do roku, co przekłada się też proporcjonalnie na cały rynek bliskowschodni. </w:t>
      </w:r>
      <w:r>
        <w:rPr>
          <w:rFonts w:eastAsia="Times New Roman" w:cstheme="minorHAnsi"/>
          <w:sz w:val="28"/>
          <w:szCs w:val="28"/>
          <w:lang w:eastAsia="pl-PL"/>
        </w:rPr>
        <w:br/>
      </w:r>
      <w:r>
        <w:rPr>
          <w:rFonts w:eastAsia="Times New Roman" w:cstheme="minorHAnsi"/>
          <w:sz w:val="28"/>
          <w:szCs w:val="28"/>
          <w:lang w:eastAsia="pl-PL"/>
        </w:rPr>
        <w:br/>
      </w:r>
      <w:r>
        <w:rPr>
          <w:sz w:val="28"/>
          <w:szCs w:val="28"/>
        </w:rPr>
        <w:t>–</w:t>
      </w:r>
      <w:bookmarkStart w:id="0" w:name="_GoBack"/>
      <w:bookmarkEnd w:id="0"/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sz w:val="28"/>
          <w:szCs w:val="28"/>
        </w:rPr>
        <w:t>Sytuacja geopolityczna w tamtym regionie skłoniła część nabywców do przyjęcia postawy wyczekującej, spowalniając aktywność na rynku, który kilka miesięcy wcześniej przeżywał boom. Brokerzy i deweloperzy odnotowali wyraźny spadek finalizacji transakcji. Eksperci nie spodziewają się jednak strukturalnego załamania, o ile konflikt nie przerodzi się w długotrwałą wojnę regionalną – mówi Joanna Ossowska-Rodziewicz.</w:t>
      </w:r>
    </w:p>
    <w:p w:rsidR="00611D36" w:rsidRPr="00611D36" w:rsidRDefault="00611D36" w:rsidP="00611D36">
      <w:pPr>
        <w:spacing w:before="100" w:beforeAutospacing="1" w:after="100" w:afterAutospacing="1" w:line="240" w:lineRule="auto"/>
        <w:textAlignment w:val="bottom"/>
        <w:rPr>
          <w:rFonts w:eastAsia="Times New Roman" w:cstheme="minorHAnsi"/>
          <w:b/>
          <w:color w:val="222222"/>
          <w:sz w:val="28"/>
          <w:szCs w:val="28"/>
          <w:lang w:eastAsia="pl-PL"/>
        </w:rPr>
      </w:pPr>
      <w:r w:rsidRPr="00611D36">
        <w:rPr>
          <w:rFonts w:eastAsia="Times New Roman" w:cstheme="minorHAnsi"/>
          <w:b/>
          <w:color w:val="222222"/>
          <w:sz w:val="28"/>
          <w:szCs w:val="28"/>
          <w:lang w:eastAsia="pl-PL"/>
        </w:rPr>
        <w:t>Trzeba być przygotowanym</w:t>
      </w:r>
    </w:p>
    <w:p w:rsidR="005C0A3C" w:rsidRPr="00A31A0E" w:rsidRDefault="005C0A3C" w:rsidP="005C0A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E7435">
        <w:rPr>
          <w:rFonts w:eastAsia="Times New Roman" w:cstheme="minorHAnsi"/>
          <w:sz w:val="28"/>
          <w:szCs w:val="28"/>
          <w:lang w:eastAsia="pl-PL"/>
        </w:rPr>
        <w:t>Wspólny mianownik wszystkich trzech kierunków? Nagradzają tych, którzy wchodzą przygotowani. – Dywersyfikować, wybierać wyłącznie sprawdzonych deweloperów, korzystać z niezależnej obsługi prawnej i traktować inwestycję jak</w:t>
      </w:r>
      <w:r w:rsidR="00A31A0E">
        <w:rPr>
          <w:rFonts w:eastAsia="Times New Roman" w:cstheme="minorHAnsi"/>
          <w:sz w:val="28"/>
          <w:szCs w:val="28"/>
          <w:lang w:eastAsia="pl-PL"/>
        </w:rPr>
        <w:t>o element szerszego portfela. T</w:t>
      </w:r>
      <w:r w:rsidRPr="001E7435">
        <w:rPr>
          <w:rFonts w:eastAsia="Times New Roman" w:cstheme="minorHAnsi"/>
          <w:sz w:val="28"/>
          <w:szCs w:val="28"/>
          <w:lang w:eastAsia="pl-PL"/>
        </w:rPr>
        <w:t xml:space="preserve">o recepta, która sprawdza się niezależnie od tego, czy mówimy o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Marbelli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, </w:t>
      </w:r>
      <w:proofErr w:type="spellStart"/>
      <w:r w:rsidRPr="001E7435">
        <w:rPr>
          <w:rFonts w:eastAsia="Times New Roman" w:cstheme="minorHAnsi"/>
          <w:sz w:val="28"/>
          <w:szCs w:val="28"/>
          <w:lang w:eastAsia="pl-PL"/>
        </w:rPr>
        <w:t>Phuket</w:t>
      </w:r>
      <w:proofErr w:type="spellEnd"/>
      <w:r w:rsidRPr="001E7435">
        <w:rPr>
          <w:rFonts w:eastAsia="Times New Roman" w:cstheme="minorHAnsi"/>
          <w:sz w:val="28"/>
          <w:szCs w:val="28"/>
          <w:lang w:eastAsia="pl-PL"/>
        </w:rPr>
        <w:t xml:space="preserve"> czy Maskacie – podsumowuje </w:t>
      </w:r>
      <w:r w:rsidRPr="00A31A0E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 w:rsidR="00A31A0E">
        <w:rPr>
          <w:rFonts w:eastAsia="Times New Roman" w:cstheme="minorHAnsi"/>
          <w:sz w:val="28"/>
          <w:szCs w:val="28"/>
          <w:lang w:eastAsia="pl-PL"/>
        </w:rPr>
        <w:t xml:space="preserve"> z By-Bright.</w:t>
      </w:r>
    </w:p>
    <w:p w:rsidR="00D1071E" w:rsidRPr="001E7435" w:rsidRDefault="00D1071E">
      <w:pPr>
        <w:rPr>
          <w:rFonts w:cstheme="minorHAnsi"/>
          <w:sz w:val="28"/>
          <w:szCs w:val="28"/>
        </w:rPr>
      </w:pPr>
    </w:p>
    <w:sectPr w:rsidR="00D1071E" w:rsidRPr="001E7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A3C"/>
    <w:rsid w:val="001E7435"/>
    <w:rsid w:val="00545F23"/>
    <w:rsid w:val="005C0A3C"/>
    <w:rsid w:val="00611D36"/>
    <w:rsid w:val="00A14A8E"/>
    <w:rsid w:val="00A31A0E"/>
    <w:rsid w:val="00D1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77691-A458-45A4-8127-BE2AE608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571</Words>
  <Characters>3429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4</cp:revision>
  <dcterms:created xsi:type="dcterms:W3CDTF">2026-04-08T14:20:00Z</dcterms:created>
  <dcterms:modified xsi:type="dcterms:W3CDTF">2026-04-14T13:13:00Z</dcterms:modified>
</cp:coreProperties>
</file>