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4F4F" w14:textId="77777777" w:rsidR="00787CF1" w:rsidRPr="00D66338" w:rsidRDefault="00787CF1" w:rsidP="00D66338">
      <w:pPr>
        <w:spacing w:line="276" w:lineRule="auto"/>
        <w:jc w:val="right"/>
        <w:outlineLvl w:val="0"/>
        <w:rPr>
          <w:rFonts w:ascii="Calibri" w:eastAsia="Times New Roman" w:hAnsi="Calibri" w:cs="Calibri"/>
          <w:kern w:val="36"/>
          <w:sz w:val="22"/>
          <w:szCs w:val="22"/>
          <w:lang w:eastAsia="pl-PL"/>
        </w:rPr>
      </w:pPr>
      <w:r w:rsidRPr="00D66338">
        <w:rPr>
          <w:rFonts w:ascii="Calibri" w:eastAsia="Times New Roman" w:hAnsi="Calibri" w:cs="Calibri"/>
          <w:kern w:val="36"/>
          <w:sz w:val="22"/>
          <w:szCs w:val="22"/>
          <w:lang w:eastAsia="pl-PL"/>
        </w:rPr>
        <w:t>Warszawa, 16 grudnia 2025 r.</w:t>
      </w:r>
    </w:p>
    <w:p w14:paraId="6B1F529A" w14:textId="77777777" w:rsidR="00787CF1" w:rsidRPr="00D66338" w:rsidRDefault="00787CF1" w:rsidP="00D66338">
      <w:pPr>
        <w:spacing w:line="276" w:lineRule="auto"/>
        <w:jc w:val="both"/>
        <w:outlineLvl w:val="0"/>
        <w:rPr>
          <w:rFonts w:ascii="Calibri" w:eastAsia="Times New Roman" w:hAnsi="Calibri" w:cs="Calibri"/>
          <w:i/>
          <w:iCs/>
          <w:kern w:val="36"/>
          <w:sz w:val="22"/>
          <w:szCs w:val="22"/>
          <w:lang w:eastAsia="pl-PL"/>
        </w:rPr>
      </w:pPr>
      <w:r w:rsidRPr="00D66338">
        <w:rPr>
          <w:rFonts w:ascii="Calibri" w:eastAsia="Times New Roman" w:hAnsi="Calibri" w:cs="Calibri"/>
          <w:i/>
          <w:iCs/>
          <w:kern w:val="36"/>
          <w:sz w:val="22"/>
          <w:szCs w:val="22"/>
          <w:lang w:eastAsia="pl-PL"/>
        </w:rPr>
        <w:t>Informacja prasowa</w:t>
      </w:r>
    </w:p>
    <w:p w14:paraId="2BB0D409" w14:textId="77777777" w:rsidR="00787CF1" w:rsidRPr="00D66338" w:rsidRDefault="00787CF1" w:rsidP="00D66338">
      <w:pPr>
        <w:spacing w:line="276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</w:rPr>
      </w:pPr>
    </w:p>
    <w:p w14:paraId="594F3822" w14:textId="77777777" w:rsidR="005E1AA2" w:rsidRPr="00D66338" w:rsidRDefault="001F4DEF" w:rsidP="00D66338">
      <w:pPr>
        <w:spacing w:line="276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</w:pPr>
      <w:r w:rsidRPr="00D66338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>Ko</w:t>
      </w:r>
      <w:r w:rsidR="00D0759D" w:rsidRPr="00D66338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>mpromis emisyjny</w:t>
      </w:r>
      <w:r w:rsidR="00DE1C86" w:rsidRPr="00D66338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 xml:space="preserve"> 20</w:t>
      </w:r>
      <w:r w:rsidRPr="00D66338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>35</w:t>
      </w:r>
      <w:r w:rsidR="00DE1C86" w:rsidRPr="00D66338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 xml:space="preserve">: </w:t>
      </w:r>
      <w:r w:rsidR="005E1AA2" w:rsidRPr="00D66338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 xml:space="preserve">nowe cele, te same wyzwania. </w:t>
      </w:r>
    </w:p>
    <w:p w14:paraId="0CED2F79" w14:textId="1B990B32" w:rsidR="00787CF1" w:rsidRPr="00D66338" w:rsidRDefault="00430239" w:rsidP="00D66338">
      <w:pPr>
        <w:spacing w:line="276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</w:pPr>
      <w:r w:rsidRPr="00D66338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 xml:space="preserve">Europa zostaje przy </w:t>
      </w:r>
      <w:proofErr w:type="spellStart"/>
      <w:r w:rsidRPr="00D66338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>elektromobilności</w:t>
      </w:r>
      <w:proofErr w:type="spellEnd"/>
    </w:p>
    <w:p w14:paraId="423D84D6" w14:textId="77777777" w:rsidR="00430239" w:rsidRPr="00D66338" w:rsidRDefault="00430239" w:rsidP="00D66338">
      <w:pPr>
        <w:spacing w:line="276" w:lineRule="auto"/>
        <w:jc w:val="both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highlight w:val="yellow"/>
          <w:lang w:eastAsia="pl-PL"/>
        </w:rPr>
      </w:pPr>
    </w:p>
    <w:p w14:paraId="5E60580C" w14:textId="2A7085B0" w:rsidR="00787CF1" w:rsidRPr="00D66338" w:rsidRDefault="00787CF1" w:rsidP="00D66338">
      <w:pPr>
        <w:pStyle w:val="Akapitzlist"/>
        <w:numPr>
          <w:ilvl w:val="0"/>
          <w:numId w:val="10"/>
        </w:numPr>
        <w:spacing w:line="276" w:lineRule="auto"/>
        <w:ind w:left="142" w:hanging="142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D66338">
        <w:rPr>
          <w:rFonts w:ascii="Calibri" w:hAnsi="Calibri" w:cs="Calibri"/>
          <w:b/>
          <w:bCs/>
          <w:sz w:val="22"/>
          <w:szCs w:val="22"/>
        </w:rPr>
        <w:t xml:space="preserve">Komisja Europejska </w:t>
      </w:r>
      <w:r w:rsidR="004D7146" w:rsidRPr="00D66338">
        <w:rPr>
          <w:rFonts w:ascii="Calibri" w:hAnsi="Calibri" w:cs="Calibri"/>
          <w:b/>
          <w:bCs/>
          <w:sz w:val="22"/>
          <w:szCs w:val="22"/>
        </w:rPr>
        <w:t>ogłosiła</w:t>
      </w:r>
      <w:r w:rsidRPr="00D6633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D7146" w:rsidRPr="00D66338">
        <w:rPr>
          <w:rFonts w:ascii="Calibri" w:hAnsi="Calibri" w:cs="Calibri"/>
          <w:b/>
          <w:bCs/>
          <w:sz w:val="22"/>
          <w:szCs w:val="22"/>
        </w:rPr>
        <w:t xml:space="preserve">dziś </w:t>
      </w:r>
      <w:r w:rsidR="00E17643" w:rsidRPr="00D66338">
        <w:rPr>
          <w:rFonts w:ascii="Calibri" w:hAnsi="Calibri" w:cs="Calibri"/>
          <w:b/>
          <w:bCs/>
          <w:sz w:val="22"/>
          <w:szCs w:val="22"/>
        </w:rPr>
        <w:t xml:space="preserve">propozycję </w:t>
      </w:r>
      <w:r w:rsidR="004D7146" w:rsidRPr="00D66338">
        <w:rPr>
          <w:rFonts w:ascii="Calibri" w:hAnsi="Calibri" w:cs="Calibri"/>
          <w:b/>
          <w:bCs/>
          <w:sz w:val="22"/>
          <w:szCs w:val="22"/>
        </w:rPr>
        <w:t>kompromisowe</w:t>
      </w:r>
      <w:r w:rsidR="00E17643" w:rsidRPr="00D66338">
        <w:rPr>
          <w:rFonts w:ascii="Calibri" w:hAnsi="Calibri" w:cs="Calibri"/>
          <w:b/>
          <w:bCs/>
          <w:sz w:val="22"/>
          <w:szCs w:val="22"/>
        </w:rPr>
        <w:t>go</w:t>
      </w:r>
      <w:r w:rsidR="004D7146" w:rsidRPr="00D66338">
        <w:rPr>
          <w:rFonts w:ascii="Calibri" w:hAnsi="Calibri" w:cs="Calibri"/>
          <w:b/>
          <w:bCs/>
          <w:sz w:val="22"/>
          <w:szCs w:val="22"/>
        </w:rPr>
        <w:t xml:space="preserve"> rozwiązani</w:t>
      </w:r>
      <w:r w:rsidR="00E17643" w:rsidRPr="00D66338">
        <w:rPr>
          <w:rFonts w:ascii="Calibri" w:hAnsi="Calibri" w:cs="Calibri"/>
          <w:b/>
          <w:bCs/>
          <w:sz w:val="22"/>
          <w:szCs w:val="22"/>
        </w:rPr>
        <w:t>a</w:t>
      </w:r>
      <w:r w:rsidRPr="00D66338">
        <w:rPr>
          <w:rFonts w:ascii="Calibri" w:hAnsi="Calibri" w:cs="Calibri"/>
          <w:b/>
          <w:bCs/>
          <w:sz w:val="22"/>
          <w:szCs w:val="22"/>
        </w:rPr>
        <w:t xml:space="preserve"> w sprawie zmiany </w:t>
      </w:r>
      <w:r w:rsidR="004D7146" w:rsidRPr="00D66338">
        <w:rPr>
          <w:rFonts w:ascii="Calibri" w:hAnsi="Calibri" w:cs="Calibri"/>
          <w:b/>
          <w:bCs/>
          <w:sz w:val="22"/>
          <w:szCs w:val="22"/>
        </w:rPr>
        <w:t xml:space="preserve">celu redukcji </w:t>
      </w:r>
      <w:r w:rsidRPr="00D66338">
        <w:rPr>
          <w:rFonts w:ascii="Calibri" w:hAnsi="Calibri" w:cs="Calibri"/>
          <w:b/>
          <w:bCs/>
          <w:sz w:val="22"/>
          <w:szCs w:val="22"/>
        </w:rPr>
        <w:t xml:space="preserve">emisji CO₂ dla </w:t>
      </w:r>
      <w:r w:rsidR="004D7146" w:rsidRPr="00D66338">
        <w:rPr>
          <w:rFonts w:ascii="Calibri" w:hAnsi="Calibri" w:cs="Calibri"/>
          <w:b/>
          <w:bCs/>
          <w:sz w:val="22"/>
          <w:szCs w:val="22"/>
        </w:rPr>
        <w:t>samochodów</w:t>
      </w:r>
      <w:r w:rsidRPr="00D66338">
        <w:rPr>
          <w:rFonts w:ascii="Calibri" w:hAnsi="Calibri" w:cs="Calibri"/>
          <w:b/>
          <w:bCs/>
          <w:sz w:val="22"/>
          <w:szCs w:val="22"/>
        </w:rPr>
        <w:t xml:space="preserve"> osobowych i dostawczych </w:t>
      </w:r>
      <w:r w:rsidR="004D7146" w:rsidRPr="00D66338">
        <w:rPr>
          <w:rFonts w:ascii="Calibri" w:hAnsi="Calibri" w:cs="Calibri"/>
          <w:b/>
          <w:bCs/>
          <w:sz w:val="22"/>
          <w:szCs w:val="22"/>
        </w:rPr>
        <w:t>od</w:t>
      </w:r>
      <w:r w:rsidRPr="00D66338">
        <w:rPr>
          <w:rFonts w:ascii="Calibri" w:hAnsi="Calibri" w:cs="Calibri"/>
          <w:b/>
          <w:bCs/>
          <w:sz w:val="22"/>
          <w:szCs w:val="22"/>
        </w:rPr>
        <w:t xml:space="preserve"> 2035 roku. </w:t>
      </w:r>
      <w:r w:rsidRPr="00D66338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Zamiast </w:t>
      </w:r>
      <w:r w:rsidR="00906453" w:rsidRPr="00D66338">
        <w:rPr>
          <w:rFonts w:ascii="Calibri" w:hAnsi="Calibri" w:cs="Calibri"/>
          <w:b/>
          <w:bCs/>
          <w:sz w:val="22"/>
          <w:szCs w:val="22"/>
          <w:lang w:eastAsia="pl-PL"/>
        </w:rPr>
        <w:t>redukcji o 100%</w:t>
      </w:r>
      <w:r w:rsidRPr="00D66338">
        <w:rPr>
          <w:rFonts w:ascii="Calibri" w:hAnsi="Calibri" w:cs="Calibri"/>
          <w:b/>
          <w:bCs/>
          <w:sz w:val="22"/>
          <w:szCs w:val="22"/>
          <w:lang w:eastAsia="pl-PL"/>
        </w:rPr>
        <w:t xml:space="preserve">, producenci </w:t>
      </w:r>
      <w:r w:rsidR="004D7146" w:rsidRPr="00D66338">
        <w:rPr>
          <w:rFonts w:ascii="Calibri" w:hAnsi="Calibri" w:cs="Calibri"/>
          <w:b/>
          <w:bCs/>
          <w:sz w:val="22"/>
          <w:szCs w:val="22"/>
          <w:lang w:eastAsia="pl-PL"/>
        </w:rPr>
        <w:t>zostaną</w:t>
      </w:r>
      <w:r w:rsidRPr="00D66338">
        <w:rPr>
          <w:rFonts w:ascii="Calibri" w:hAnsi="Calibri" w:cs="Calibri"/>
          <w:b/>
          <w:bCs/>
          <w:sz w:val="22"/>
          <w:szCs w:val="22"/>
          <w:lang w:eastAsia="pl-PL"/>
        </w:rPr>
        <w:t xml:space="preserve"> zobowiązani do ograniczenia emisji o 90%. </w:t>
      </w:r>
      <w:r w:rsidR="004D7146" w:rsidRPr="00D66338">
        <w:rPr>
          <w:rFonts w:ascii="Calibri" w:hAnsi="Calibri" w:cs="Calibri"/>
          <w:b/>
          <w:bCs/>
          <w:sz w:val="22"/>
          <w:szCs w:val="22"/>
          <w:lang w:eastAsia="pl-PL"/>
        </w:rPr>
        <w:t>C</w:t>
      </w:r>
      <w:r w:rsidRPr="00D66338">
        <w:rPr>
          <w:rFonts w:ascii="Calibri" w:hAnsi="Calibri" w:cs="Calibri"/>
          <w:b/>
          <w:bCs/>
          <w:sz w:val="22"/>
          <w:szCs w:val="22"/>
          <w:lang w:eastAsia="pl-PL"/>
        </w:rPr>
        <w:t xml:space="preserve">ele </w:t>
      </w:r>
      <w:r w:rsidR="00231CA2" w:rsidRPr="00D66338">
        <w:rPr>
          <w:rFonts w:ascii="Calibri" w:hAnsi="Calibri" w:cs="Calibri"/>
          <w:b/>
          <w:bCs/>
          <w:sz w:val="22"/>
          <w:szCs w:val="22"/>
          <w:lang w:eastAsia="pl-PL"/>
        </w:rPr>
        <w:t xml:space="preserve">pośrednie </w:t>
      </w:r>
      <w:r w:rsidRPr="00D66338">
        <w:rPr>
          <w:rFonts w:ascii="Calibri" w:hAnsi="Calibri" w:cs="Calibri"/>
          <w:b/>
          <w:bCs/>
          <w:sz w:val="22"/>
          <w:szCs w:val="22"/>
          <w:lang w:eastAsia="pl-PL"/>
        </w:rPr>
        <w:t xml:space="preserve">na </w:t>
      </w:r>
      <w:r w:rsidR="00313B21" w:rsidRPr="00D66338">
        <w:rPr>
          <w:rFonts w:ascii="Calibri" w:hAnsi="Calibri" w:cs="Calibri"/>
          <w:b/>
          <w:bCs/>
          <w:sz w:val="22"/>
          <w:szCs w:val="22"/>
          <w:lang w:eastAsia="pl-PL"/>
        </w:rPr>
        <w:t xml:space="preserve">rok </w:t>
      </w:r>
      <w:r w:rsidRPr="00D66338">
        <w:rPr>
          <w:rFonts w:ascii="Calibri" w:hAnsi="Calibri" w:cs="Calibri"/>
          <w:b/>
          <w:bCs/>
          <w:sz w:val="22"/>
          <w:szCs w:val="22"/>
          <w:lang w:eastAsia="pl-PL"/>
        </w:rPr>
        <w:t xml:space="preserve">2030 </w:t>
      </w:r>
      <w:r w:rsidR="00231CA2" w:rsidRPr="00D66338">
        <w:rPr>
          <w:rFonts w:ascii="Calibri" w:hAnsi="Calibri" w:cs="Calibri"/>
          <w:b/>
          <w:bCs/>
          <w:sz w:val="22"/>
          <w:szCs w:val="22"/>
          <w:lang w:eastAsia="pl-PL"/>
        </w:rPr>
        <w:t>mają pozostać</w:t>
      </w:r>
      <w:r w:rsidRPr="00D66338">
        <w:rPr>
          <w:rFonts w:ascii="Calibri" w:hAnsi="Calibri" w:cs="Calibri"/>
          <w:b/>
          <w:bCs/>
          <w:sz w:val="22"/>
          <w:szCs w:val="22"/>
          <w:lang w:eastAsia="pl-PL"/>
        </w:rPr>
        <w:t xml:space="preserve"> bez </w:t>
      </w:r>
      <w:r w:rsidR="000F0FEA" w:rsidRPr="00D66338">
        <w:rPr>
          <w:rFonts w:ascii="Calibri" w:hAnsi="Calibri" w:cs="Calibri"/>
          <w:b/>
          <w:bCs/>
          <w:sz w:val="22"/>
          <w:szCs w:val="22"/>
          <w:lang w:eastAsia="pl-PL"/>
        </w:rPr>
        <w:t>krytycznych</w:t>
      </w:r>
      <w:r w:rsidR="00231CA2" w:rsidRPr="00D66338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D66338">
        <w:rPr>
          <w:rFonts w:ascii="Calibri" w:hAnsi="Calibri" w:cs="Calibri"/>
          <w:b/>
          <w:bCs/>
          <w:sz w:val="22"/>
          <w:szCs w:val="22"/>
          <w:lang w:eastAsia="pl-PL"/>
        </w:rPr>
        <w:t>zmian</w:t>
      </w:r>
      <w:r w:rsidR="00E17643" w:rsidRPr="00D66338">
        <w:rPr>
          <w:rFonts w:ascii="Calibri" w:hAnsi="Calibri" w:cs="Calibri"/>
          <w:b/>
          <w:bCs/>
          <w:sz w:val="22"/>
          <w:szCs w:val="22"/>
          <w:lang w:eastAsia="pl-PL"/>
        </w:rPr>
        <w:t>.</w:t>
      </w:r>
    </w:p>
    <w:p w14:paraId="512B495D" w14:textId="3E80368A" w:rsidR="00D0759D" w:rsidRPr="00D66338" w:rsidRDefault="00642296" w:rsidP="00D66338">
      <w:pPr>
        <w:pStyle w:val="Akapitzlist"/>
        <w:numPr>
          <w:ilvl w:val="0"/>
          <w:numId w:val="10"/>
        </w:numPr>
        <w:spacing w:line="276" w:lineRule="auto"/>
        <w:ind w:left="142" w:hanging="142"/>
        <w:jc w:val="both"/>
        <w:outlineLvl w:val="3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D66338">
        <w:rPr>
          <w:rFonts w:ascii="Calibri" w:hAnsi="Calibri" w:cs="Calibri"/>
          <w:b/>
          <w:bCs/>
          <w:sz w:val="22"/>
          <w:szCs w:val="22"/>
        </w:rPr>
        <w:t xml:space="preserve">Jak ocenia Polskie Stowarzyszenie Nowej Mobilności, </w:t>
      </w:r>
      <w:r w:rsidR="00231CA2" w:rsidRPr="00D66338">
        <w:rPr>
          <w:rFonts w:ascii="Calibri" w:hAnsi="Calibri" w:cs="Calibri"/>
          <w:b/>
          <w:bCs/>
          <w:sz w:val="22"/>
          <w:szCs w:val="22"/>
        </w:rPr>
        <w:t>projekt Komisji</w:t>
      </w:r>
      <w:r w:rsidR="00A04D4F" w:rsidRPr="00D66338">
        <w:rPr>
          <w:rFonts w:ascii="Calibri" w:hAnsi="Calibri" w:cs="Calibri"/>
          <w:b/>
          <w:bCs/>
          <w:sz w:val="22"/>
          <w:szCs w:val="22"/>
        </w:rPr>
        <w:t xml:space="preserve"> n</w:t>
      </w:r>
      <w:r w:rsidR="00D0759D" w:rsidRPr="00D66338">
        <w:rPr>
          <w:rFonts w:ascii="Calibri" w:hAnsi="Calibri" w:cs="Calibri"/>
          <w:b/>
          <w:bCs/>
          <w:sz w:val="22"/>
          <w:szCs w:val="22"/>
        </w:rPr>
        <w:t>ie</w:t>
      </w:r>
      <w:r w:rsidR="0000792A" w:rsidRPr="00D66338">
        <w:rPr>
          <w:rFonts w:ascii="Calibri" w:hAnsi="Calibri" w:cs="Calibri"/>
          <w:b/>
          <w:bCs/>
          <w:sz w:val="22"/>
          <w:szCs w:val="22"/>
        </w:rPr>
        <w:t xml:space="preserve"> wpłyn</w:t>
      </w:r>
      <w:r w:rsidR="00D0759D" w:rsidRPr="00D66338">
        <w:rPr>
          <w:rFonts w:ascii="Calibri" w:hAnsi="Calibri" w:cs="Calibri"/>
          <w:b/>
          <w:bCs/>
          <w:sz w:val="22"/>
          <w:szCs w:val="22"/>
        </w:rPr>
        <w:t xml:space="preserve">ie </w:t>
      </w:r>
      <w:r w:rsidR="0000792A" w:rsidRPr="00D66338">
        <w:rPr>
          <w:rFonts w:ascii="Calibri" w:hAnsi="Calibri" w:cs="Calibri"/>
          <w:b/>
          <w:bCs/>
          <w:sz w:val="22"/>
          <w:szCs w:val="22"/>
        </w:rPr>
        <w:t xml:space="preserve">w decydujący sposób na rozwój </w:t>
      </w:r>
      <w:proofErr w:type="spellStart"/>
      <w:r w:rsidR="0000792A" w:rsidRPr="00D66338">
        <w:rPr>
          <w:rFonts w:ascii="Calibri" w:hAnsi="Calibri" w:cs="Calibri"/>
          <w:b/>
          <w:bCs/>
          <w:sz w:val="22"/>
          <w:szCs w:val="22"/>
        </w:rPr>
        <w:t>elektromobilności</w:t>
      </w:r>
      <w:proofErr w:type="spellEnd"/>
      <w:r w:rsidR="0000792A" w:rsidRPr="00D66338">
        <w:rPr>
          <w:rFonts w:ascii="Calibri" w:hAnsi="Calibri" w:cs="Calibri"/>
          <w:b/>
          <w:bCs/>
          <w:sz w:val="22"/>
          <w:szCs w:val="22"/>
        </w:rPr>
        <w:t xml:space="preserve"> w</w:t>
      </w:r>
      <w:r w:rsidR="00D0759D" w:rsidRPr="00D6633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04D4F" w:rsidRPr="00D66338">
        <w:rPr>
          <w:rFonts w:ascii="Calibri" w:hAnsi="Calibri" w:cs="Calibri"/>
          <w:b/>
          <w:bCs/>
          <w:sz w:val="22"/>
          <w:szCs w:val="22"/>
        </w:rPr>
        <w:t>Unii Europejskiej</w:t>
      </w:r>
      <w:r w:rsidR="00D0759D" w:rsidRPr="00D66338">
        <w:rPr>
          <w:rFonts w:ascii="Calibri" w:hAnsi="Calibri" w:cs="Calibri"/>
          <w:b/>
          <w:bCs/>
          <w:sz w:val="22"/>
          <w:szCs w:val="22"/>
        </w:rPr>
        <w:t>, gdzie d</w:t>
      </w:r>
      <w:r w:rsidR="0000792A" w:rsidRPr="00D66338">
        <w:rPr>
          <w:rFonts w:ascii="Calibri" w:hAnsi="Calibri" w:cs="Calibri"/>
          <w:b/>
          <w:bCs/>
          <w:sz w:val="22"/>
          <w:szCs w:val="22"/>
        </w:rPr>
        <w:t xml:space="preserve">o 2035 r. </w:t>
      </w:r>
      <w:r w:rsidR="007D6DD8" w:rsidRPr="00D66338">
        <w:rPr>
          <w:rFonts w:ascii="Calibri" w:hAnsi="Calibri" w:cs="Calibri"/>
          <w:b/>
          <w:bCs/>
          <w:sz w:val="22"/>
          <w:szCs w:val="22"/>
        </w:rPr>
        <w:t xml:space="preserve">i tak </w:t>
      </w:r>
      <w:r w:rsidR="0000792A" w:rsidRPr="00D66338">
        <w:rPr>
          <w:rFonts w:ascii="Calibri" w:hAnsi="Calibri" w:cs="Calibri"/>
          <w:b/>
          <w:bCs/>
          <w:sz w:val="22"/>
          <w:szCs w:val="22"/>
        </w:rPr>
        <w:t xml:space="preserve">będzie rejestrowanych </w:t>
      </w:r>
      <w:r w:rsidR="00A04D4F" w:rsidRPr="00D66338">
        <w:rPr>
          <w:rFonts w:ascii="Calibri" w:hAnsi="Calibri" w:cs="Calibri"/>
          <w:b/>
          <w:bCs/>
          <w:sz w:val="22"/>
          <w:szCs w:val="22"/>
        </w:rPr>
        <w:t>blisko</w:t>
      </w:r>
      <w:r w:rsidR="0000792A" w:rsidRPr="00D66338">
        <w:rPr>
          <w:rFonts w:ascii="Calibri" w:hAnsi="Calibri" w:cs="Calibri"/>
          <w:b/>
          <w:bCs/>
          <w:sz w:val="22"/>
          <w:szCs w:val="22"/>
        </w:rPr>
        <w:t xml:space="preserve"> 8 mln nowych samochodów elektrycznych rocznie</w:t>
      </w:r>
      <w:r w:rsidR="00530CC2" w:rsidRPr="00D66338">
        <w:rPr>
          <w:rFonts w:ascii="Calibri" w:hAnsi="Calibri" w:cs="Calibri"/>
          <w:b/>
          <w:bCs/>
          <w:sz w:val="22"/>
          <w:szCs w:val="22"/>
        </w:rPr>
        <w:t>, mimo obniżenia docelowego poziomu redukcji emisj</w:t>
      </w:r>
      <w:r w:rsidRPr="00D66338">
        <w:rPr>
          <w:rFonts w:ascii="Calibri" w:hAnsi="Calibri" w:cs="Calibri"/>
          <w:b/>
          <w:bCs/>
          <w:sz w:val="22"/>
          <w:szCs w:val="22"/>
        </w:rPr>
        <w:t>i</w:t>
      </w:r>
      <w:r w:rsidR="00313B21" w:rsidRPr="00D66338">
        <w:rPr>
          <w:rFonts w:ascii="Calibri" w:hAnsi="Calibri" w:cs="Calibri"/>
          <w:b/>
          <w:bCs/>
          <w:sz w:val="22"/>
          <w:szCs w:val="22"/>
          <w:lang w:eastAsia="pl-PL"/>
        </w:rPr>
        <w:t xml:space="preserve">. </w:t>
      </w:r>
    </w:p>
    <w:p w14:paraId="011F1AE9" w14:textId="42FEE14C" w:rsidR="00642296" w:rsidRPr="00D66338" w:rsidRDefault="00642296" w:rsidP="00D66338">
      <w:pPr>
        <w:pStyle w:val="Akapitzlist"/>
        <w:numPr>
          <w:ilvl w:val="0"/>
          <w:numId w:val="10"/>
        </w:numPr>
        <w:spacing w:line="276" w:lineRule="auto"/>
        <w:ind w:left="142" w:hanging="142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D66338">
        <w:rPr>
          <w:rFonts w:ascii="Calibri" w:hAnsi="Calibri" w:cs="Calibri"/>
          <w:b/>
          <w:bCs/>
          <w:sz w:val="22"/>
          <w:szCs w:val="22"/>
        </w:rPr>
        <w:t xml:space="preserve">Ograniczenie ambicji emisyjnych nie rozwiąże </w:t>
      </w:r>
      <w:r w:rsidR="00AE64F4" w:rsidRPr="00D66338">
        <w:rPr>
          <w:rFonts w:ascii="Calibri" w:hAnsi="Calibri" w:cs="Calibri"/>
          <w:b/>
          <w:bCs/>
          <w:sz w:val="22"/>
          <w:szCs w:val="22"/>
        </w:rPr>
        <w:t xml:space="preserve">też </w:t>
      </w:r>
      <w:r w:rsidRPr="00D66338">
        <w:rPr>
          <w:rFonts w:ascii="Calibri" w:hAnsi="Calibri" w:cs="Calibri"/>
          <w:b/>
          <w:bCs/>
          <w:sz w:val="22"/>
          <w:szCs w:val="22"/>
        </w:rPr>
        <w:t xml:space="preserve">problemów europejskiego przemysłu motoryzacyjnego. Globalny rozwój </w:t>
      </w:r>
      <w:proofErr w:type="spellStart"/>
      <w:r w:rsidRPr="00D66338">
        <w:rPr>
          <w:rFonts w:ascii="Calibri" w:hAnsi="Calibri" w:cs="Calibri"/>
          <w:b/>
          <w:bCs/>
          <w:sz w:val="22"/>
          <w:szCs w:val="22"/>
        </w:rPr>
        <w:t>elektromobilności</w:t>
      </w:r>
      <w:proofErr w:type="spellEnd"/>
      <w:r w:rsidRPr="00D66338">
        <w:rPr>
          <w:rFonts w:ascii="Calibri" w:hAnsi="Calibri" w:cs="Calibri"/>
          <w:b/>
          <w:bCs/>
          <w:sz w:val="22"/>
          <w:szCs w:val="22"/>
        </w:rPr>
        <w:t xml:space="preserve"> będzie postępował niezależnie od tej decyzji, a europejskie </w:t>
      </w:r>
      <w:proofErr w:type="spellStart"/>
      <w:r w:rsidRPr="00D66338">
        <w:rPr>
          <w:rFonts w:ascii="Calibri" w:hAnsi="Calibri" w:cs="Calibri"/>
          <w:b/>
          <w:bCs/>
          <w:sz w:val="22"/>
          <w:szCs w:val="22"/>
        </w:rPr>
        <w:t>automotive</w:t>
      </w:r>
      <w:proofErr w:type="spellEnd"/>
      <w:r w:rsidRPr="00D66338">
        <w:rPr>
          <w:rFonts w:ascii="Calibri" w:hAnsi="Calibri" w:cs="Calibri"/>
          <w:b/>
          <w:bCs/>
          <w:sz w:val="22"/>
          <w:szCs w:val="22"/>
        </w:rPr>
        <w:t xml:space="preserve"> nadal będzie mierzyć się z rosnącą presją technologiczną i cenową ze strony producentów z innych części świata.</w:t>
      </w:r>
    </w:p>
    <w:p w14:paraId="02433A24" w14:textId="77777777" w:rsidR="00633DAF" w:rsidRPr="00D66338" w:rsidRDefault="00633DAF" w:rsidP="00D66338">
      <w:pPr>
        <w:pStyle w:val="Akapitzlist"/>
        <w:spacing w:line="276" w:lineRule="auto"/>
        <w:jc w:val="both"/>
        <w:outlineLvl w:val="3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311EB74D" w14:textId="453DF8EE" w:rsidR="00787CF1" w:rsidRPr="00D66338" w:rsidRDefault="00E17643" w:rsidP="00D66338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Komisja Europejska przedstawiła </w:t>
      </w:r>
      <w:r w:rsidR="000D71FF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dziś pakiet inicjatyw dla przemysłu motoryzacyjnego, zawierający m.in. </w:t>
      </w:r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propozycję zmian 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>regulacji emisyjnych</w:t>
      </w:r>
      <w:r w:rsidR="004D7146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wynikających z rozporządzania 2019/631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. </w:t>
      </w:r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>Według nowych zasad</w:t>
      </w:r>
      <w:r w:rsidR="004D7146" w:rsidRPr="00D66338">
        <w:rPr>
          <w:rFonts w:ascii="Calibri" w:eastAsia="Times New Roman" w:hAnsi="Calibri" w:cs="Calibri"/>
          <w:sz w:val="22"/>
          <w:szCs w:val="22"/>
          <w:lang w:eastAsia="pl-PL"/>
        </w:rPr>
        <w:t>,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od 2035 r. producenci </w:t>
      </w:r>
      <w:r w:rsidR="004D7146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ograniczą 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>emisj</w:t>
      </w:r>
      <w:r w:rsidR="004D7146" w:rsidRPr="00D66338">
        <w:rPr>
          <w:rFonts w:ascii="Calibri" w:eastAsia="Times New Roman" w:hAnsi="Calibri" w:cs="Calibri"/>
          <w:sz w:val="22"/>
          <w:szCs w:val="22"/>
          <w:lang w:eastAsia="pl-PL"/>
        </w:rPr>
        <w:t>e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CO₂</w:t>
      </w:r>
      <w:r w:rsidR="004D7146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nowych samochodów osobowych i dostawczych nie o 100% a lecz o 90</w:t>
      </w:r>
      <w:r w:rsidR="004123A2" w:rsidRPr="00D66338">
        <w:rPr>
          <w:rFonts w:ascii="Calibri" w:eastAsia="Times New Roman" w:hAnsi="Calibri" w:cs="Calibri"/>
          <w:sz w:val="22"/>
          <w:szCs w:val="22"/>
          <w:lang w:eastAsia="pl-PL"/>
        </w:rPr>
        <w:t>%.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A76475" w:rsidRPr="00D66338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ymóg </w:t>
      </w:r>
      <w:r w:rsidR="00A76475" w:rsidRPr="00D66338">
        <w:rPr>
          <w:rFonts w:ascii="Calibri" w:eastAsia="Times New Roman" w:hAnsi="Calibri" w:cs="Calibri"/>
          <w:sz w:val="22"/>
          <w:szCs w:val="22"/>
          <w:lang w:eastAsia="pl-PL"/>
        </w:rPr>
        <w:t>redukcji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emisji</w:t>
      </w:r>
      <w:r w:rsidR="00A76475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do zera nie pojawi się również w 2040 r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. </w:t>
      </w:r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Ostateczny kształt nowych przepisów pozostaje jednak sprawą otwartą – w dalszej kolejności </w:t>
      </w:r>
      <w:r w:rsidR="0000792A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ogłoszony </w:t>
      </w:r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>projekt</w:t>
      </w:r>
      <w:r w:rsidR="00FC70C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będzie przedmiotem </w:t>
      </w:r>
      <w:proofErr w:type="spellStart"/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>trilogu</w:t>
      </w:r>
      <w:proofErr w:type="spellEnd"/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pomiędzy Komisją, Parlamentem Europejskim oraz Radą UE. </w:t>
      </w:r>
    </w:p>
    <w:p w14:paraId="026AD0E1" w14:textId="77777777" w:rsidR="00787CF1" w:rsidRPr="00D66338" w:rsidRDefault="00787CF1" w:rsidP="00D66338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6DBFB4A" w14:textId="345DD0B2" w:rsidR="00787CF1" w:rsidRPr="00D66338" w:rsidRDefault="00430239" w:rsidP="00D66338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- </w:t>
      </w:r>
      <w:r w:rsidR="00DF501F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Propozycja Komisji stanowi złagodzenie przepisów przyjętych w ramach pakietu „Fit for 55”. W konsekwencji nie wszystkie samochody wyjeżdżające z salonów za 10 lat będą zeroemisyjne. Trudno ocenić tę zmianę pozytywnie, zwłaszcza że oznacza ona korektę wcześniej przyjętych zasad</w:t>
      </w:r>
      <w:r w:rsidR="0011495F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, za którymi poszły konkretne decyzje inwestycyjne</w:t>
      </w:r>
      <w:r w:rsidR="00DF501F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. Pamiętajmy jednak, że 90-procentowa redukcja emisji CO₂ to wciąż niezwykle ambitny cel, który oznacza utrzymanie </w:t>
      </w:r>
      <w:r w:rsidR="00D21BD2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kursu na</w:t>
      </w:r>
      <w:r w:rsidR="00DF501F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dynamiczn</w:t>
      </w:r>
      <w:r w:rsidR="00D21BD2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ą</w:t>
      </w:r>
      <w:r w:rsidR="00DF501F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elektryfikację flot. Przestrzeń dla technologii opartych na paliwach kopalnych </w:t>
      </w:r>
      <w:r w:rsidR="00D21BD2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pozostanie</w:t>
      </w:r>
      <w:r w:rsidR="00DF501F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bardzo ograniczona. W praktyce projektowane zmiany nie </w:t>
      </w:r>
      <w:r w:rsidR="00D21BD2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będą miały krytycznego</w:t>
      </w:r>
      <w:r w:rsidR="00DF501F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wpływu na rozwój </w:t>
      </w:r>
      <w:proofErr w:type="spellStart"/>
      <w:r w:rsidR="00DF501F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elektromobilności</w:t>
      </w:r>
      <w:proofErr w:type="spellEnd"/>
      <w:r w:rsidR="00DF501F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w państwach członkowskich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– komentuje </w:t>
      </w:r>
      <w:r w:rsidR="00787CF1" w:rsidRPr="00D66338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Maciej Mazur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>, CEO Polskiego Stowarzyszenia Nowej Mobilności (PSNM).</w:t>
      </w:r>
    </w:p>
    <w:p w14:paraId="67FC9843" w14:textId="77777777" w:rsidR="00C52AEB" w:rsidRPr="00D66338" w:rsidRDefault="00C52AEB" w:rsidP="00D66338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21F80DE" w14:textId="564025FA" w:rsidR="0000792A" w:rsidRPr="00D66338" w:rsidRDefault="00C52AEB" w:rsidP="00D66338">
      <w:pPr>
        <w:spacing w:after="160"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Cele redukcji emisji wynikają z </w:t>
      </w:r>
      <w:r w:rsidRPr="00D66338">
        <w:rPr>
          <w:rFonts w:ascii="Calibri" w:hAnsi="Calibri" w:cs="Calibri"/>
          <w:sz w:val="22"/>
          <w:szCs w:val="22"/>
        </w:rPr>
        <w:t xml:space="preserve">Rozporządzenia Parlamentu Europejskiego i Rady (UE) 2019/631. </w:t>
      </w:r>
      <w:r w:rsidR="00D21BD2" w:rsidRPr="00D66338">
        <w:rPr>
          <w:rFonts w:ascii="Calibri" w:hAnsi="Calibri" w:cs="Calibri"/>
          <w:sz w:val="22"/>
          <w:szCs w:val="22"/>
        </w:rPr>
        <w:t>Wciąż o</w:t>
      </w:r>
      <w:r w:rsidR="004E1F2C" w:rsidRPr="00D66338">
        <w:rPr>
          <w:rFonts w:ascii="Calibri" w:hAnsi="Calibri" w:cs="Calibri"/>
          <w:sz w:val="22"/>
          <w:szCs w:val="22"/>
        </w:rPr>
        <w:t xml:space="preserve">bowiązująca </w:t>
      </w:r>
      <w:r w:rsidR="00175EF0" w:rsidRPr="00D66338">
        <w:rPr>
          <w:rFonts w:ascii="Calibri" w:hAnsi="Calibri" w:cs="Calibri"/>
          <w:sz w:val="22"/>
          <w:szCs w:val="22"/>
        </w:rPr>
        <w:t>wersja rozporządzenia przewiduje, że w porównaniu do 2021 r. średni roczny poziom emisji CO</w:t>
      </w:r>
      <w:r w:rsidR="00175EF0" w:rsidRPr="00D66338">
        <w:rPr>
          <w:rFonts w:ascii="Calibri" w:hAnsi="Calibri" w:cs="Calibri"/>
          <w:sz w:val="22"/>
          <w:szCs w:val="22"/>
          <w:vertAlign w:val="subscript"/>
        </w:rPr>
        <w:t>2</w:t>
      </w:r>
      <w:r w:rsidR="00175EF0" w:rsidRPr="00D66338">
        <w:rPr>
          <w:rFonts w:ascii="Calibri" w:hAnsi="Calibri" w:cs="Calibri"/>
          <w:sz w:val="22"/>
          <w:szCs w:val="22"/>
        </w:rPr>
        <w:t xml:space="preserve"> unijnego parku pojazdów </w:t>
      </w:r>
      <w:r w:rsidR="00654328" w:rsidRPr="00D66338">
        <w:rPr>
          <w:rFonts w:ascii="Calibri" w:hAnsi="Calibri" w:cs="Calibri"/>
          <w:sz w:val="22"/>
          <w:szCs w:val="22"/>
        </w:rPr>
        <w:t xml:space="preserve">osobowych i dostawczych </w:t>
      </w:r>
      <w:r w:rsidR="00175EF0" w:rsidRPr="00D66338">
        <w:rPr>
          <w:rFonts w:ascii="Calibri" w:hAnsi="Calibri" w:cs="Calibri"/>
          <w:sz w:val="22"/>
          <w:szCs w:val="22"/>
        </w:rPr>
        <w:t xml:space="preserve">powinien zostać zredukowany o 15% </w:t>
      </w:r>
      <w:r w:rsidR="00555011" w:rsidRPr="00D66338">
        <w:rPr>
          <w:rFonts w:ascii="Calibri" w:hAnsi="Calibri" w:cs="Calibri"/>
          <w:sz w:val="22"/>
          <w:szCs w:val="22"/>
        </w:rPr>
        <w:t>od</w:t>
      </w:r>
      <w:r w:rsidR="00175EF0" w:rsidRPr="00D66338">
        <w:rPr>
          <w:rFonts w:ascii="Calibri" w:hAnsi="Calibri" w:cs="Calibri"/>
          <w:sz w:val="22"/>
          <w:szCs w:val="22"/>
        </w:rPr>
        <w:t xml:space="preserve"> roku 2025, o 55% (50% w przypadku </w:t>
      </w:r>
      <w:r w:rsidR="00654328" w:rsidRPr="00D66338">
        <w:rPr>
          <w:rFonts w:ascii="Calibri" w:hAnsi="Calibri" w:cs="Calibri"/>
          <w:sz w:val="22"/>
          <w:szCs w:val="22"/>
        </w:rPr>
        <w:t>„</w:t>
      </w:r>
      <w:proofErr w:type="spellStart"/>
      <w:r w:rsidR="00654328" w:rsidRPr="00D66338">
        <w:rPr>
          <w:rFonts w:ascii="Calibri" w:hAnsi="Calibri" w:cs="Calibri"/>
          <w:sz w:val="22"/>
          <w:szCs w:val="22"/>
        </w:rPr>
        <w:t>dostawczaków</w:t>
      </w:r>
      <w:proofErr w:type="spellEnd"/>
      <w:r w:rsidR="00654328" w:rsidRPr="00D66338">
        <w:rPr>
          <w:rFonts w:ascii="Calibri" w:hAnsi="Calibri" w:cs="Calibri"/>
          <w:sz w:val="22"/>
          <w:szCs w:val="22"/>
        </w:rPr>
        <w:t>”</w:t>
      </w:r>
      <w:r w:rsidR="00175EF0" w:rsidRPr="00D66338">
        <w:rPr>
          <w:rFonts w:ascii="Calibri" w:hAnsi="Calibri" w:cs="Calibri"/>
          <w:sz w:val="22"/>
          <w:szCs w:val="22"/>
        </w:rPr>
        <w:t xml:space="preserve">) od roku 2030 i ostatecznie o 100% od roku 2035. </w:t>
      </w:r>
      <w:r w:rsidR="00C61A51" w:rsidRPr="00D66338">
        <w:rPr>
          <w:rFonts w:ascii="Calibri" w:hAnsi="Calibri" w:cs="Calibri"/>
          <w:sz w:val="22"/>
          <w:szCs w:val="22"/>
        </w:rPr>
        <w:t xml:space="preserve">W rezultacie, rozporządzenie motywuje koncerny motoryzacyjne do dostarczania klientom coraz większej liczby samochodów nisko- i zeroemisyjnych, przede wszystkim elektrycznych. Aktualnie obowiązujące prawo oznacza również w praktyce, że od 2035 r. we wszystkich państwach </w:t>
      </w:r>
      <w:r w:rsidR="00C61A51" w:rsidRPr="00D66338">
        <w:rPr>
          <w:rFonts w:ascii="Calibri" w:hAnsi="Calibri" w:cs="Calibri"/>
          <w:sz w:val="22"/>
          <w:szCs w:val="22"/>
        </w:rPr>
        <w:lastRenderedPageBreak/>
        <w:t xml:space="preserve">członkowskich UE zakończy się sprzedaż nowych, osobowych i dostawczych samochodów z silnikami spalinowymi. </w:t>
      </w:r>
      <w:r w:rsidR="009B24EC" w:rsidRPr="00D66338">
        <w:rPr>
          <w:rFonts w:ascii="Calibri" w:hAnsi="Calibri" w:cs="Calibri"/>
          <w:sz w:val="22"/>
          <w:szCs w:val="22"/>
        </w:rPr>
        <w:t xml:space="preserve">Ogłoszone dziś </w:t>
      </w:r>
      <w:r w:rsidR="00A76475" w:rsidRPr="00D66338">
        <w:rPr>
          <w:rFonts w:ascii="Calibri" w:hAnsi="Calibri" w:cs="Calibri"/>
          <w:sz w:val="22"/>
          <w:szCs w:val="22"/>
        </w:rPr>
        <w:t>plany</w:t>
      </w:r>
      <w:r w:rsidR="009B24EC" w:rsidRPr="00D66338">
        <w:rPr>
          <w:rFonts w:ascii="Calibri" w:hAnsi="Calibri" w:cs="Calibri"/>
          <w:sz w:val="22"/>
          <w:szCs w:val="22"/>
        </w:rPr>
        <w:t xml:space="preserve"> oznaczają jednak, że </w:t>
      </w:r>
      <w:r w:rsidR="00430239" w:rsidRPr="00D66338">
        <w:rPr>
          <w:rFonts w:ascii="Calibri" w:hAnsi="Calibri" w:cs="Calibri"/>
          <w:sz w:val="22"/>
          <w:szCs w:val="22"/>
        </w:rPr>
        <w:t>wcześniej planowany</w:t>
      </w:r>
      <w:r w:rsidR="009B24EC" w:rsidRPr="00D66338">
        <w:rPr>
          <w:rFonts w:ascii="Calibri" w:hAnsi="Calibri" w:cs="Calibri"/>
          <w:sz w:val="22"/>
          <w:szCs w:val="22"/>
        </w:rPr>
        <w:t xml:space="preserve"> „zakaz” </w:t>
      </w:r>
      <w:r w:rsidR="00E17643" w:rsidRPr="00D66338">
        <w:rPr>
          <w:rFonts w:ascii="Calibri" w:hAnsi="Calibri" w:cs="Calibri"/>
          <w:sz w:val="22"/>
          <w:szCs w:val="22"/>
        </w:rPr>
        <w:t xml:space="preserve">najprawdopodobniej </w:t>
      </w:r>
      <w:r w:rsidR="009B24EC" w:rsidRPr="00D66338">
        <w:rPr>
          <w:rFonts w:ascii="Calibri" w:hAnsi="Calibri" w:cs="Calibri"/>
          <w:sz w:val="22"/>
          <w:szCs w:val="22"/>
        </w:rPr>
        <w:t>nie wejdzie w życie</w:t>
      </w:r>
      <w:r w:rsidR="004D7146" w:rsidRPr="00D66338">
        <w:rPr>
          <w:rFonts w:ascii="Calibri" w:hAnsi="Calibri" w:cs="Calibri"/>
          <w:sz w:val="22"/>
          <w:szCs w:val="22"/>
        </w:rPr>
        <w:t>.</w:t>
      </w:r>
      <w:r w:rsidR="009B24EC" w:rsidRPr="00D66338">
        <w:rPr>
          <w:rFonts w:ascii="Calibri" w:hAnsi="Calibri" w:cs="Calibri"/>
          <w:sz w:val="22"/>
          <w:szCs w:val="22"/>
        </w:rPr>
        <w:t xml:space="preserve"> </w:t>
      </w:r>
      <w:r w:rsidR="00CC75C7" w:rsidRPr="00D66338">
        <w:rPr>
          <w:rFonts w:ascii="Calibri" w:eastAsia="Times New Roman" w:hAnsi="Calibri" w:cs="Calibri"/>
          <w:sz w:val="22"/>
          <w:szCs w:val="22"/>
          <w:lang w:eastAsia="pl-PL"/>
        </w:rPr>
        <w:t>Obok</w:t>
      </w:r>
      <w:r w:rsidR="00654328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zmian regulacji odnoszących się do 2035 r.</w:t>
      </w:r>
      <w:r w:rsidR="00430239" w:rsidRPr="00D66338">
        <w:rPr>
          <w:rFonts w:ascii="Calibri" w:eastAsia="Times New Roman" w:hAnsi="Calibri" w:cs="Calibri"/>
          <w:sz w:val="22"/>
          <w:szCs w:val="22"/>
          <w:lang w:eastAsia="pl-PL"/>
        </w:rPr>
        <w:t>,</w:t>
      </w:r>
      <w:r w:rsidR="00654328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555011" w:rsidRPr="00D66338">
        <w:rPr>
          <w:rFonts w:ascii="Calibri" w:eastAsia="Times New Roman" w:hAnsi="Calibri" w:cs="Calibri"/>
          <w:sz w:val="22"/>
          <w:szCs w:val="22"/>
          <w:lang w:eastAsia="pl-PL"/>
        </w:rPr>
        <w:t>propozycja Komisji</w:t>
      </w:r>
      <w:r w:rsidR="00654328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przewiduje </w:t>
      </w:r>
      <w:r w:rsidR="00CC75C7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również nieznaczną </w:t>
      </w:r>
      <w:r w:rsidR="00555011" w:rsidRPr="00D66338">
        <w:rPr>
          <w:rFonts w:ascii="Calibri" w:eastAsia="Times New Roman" w:hAnsi="Calibri" w:cs="Calibri"/>
          <w:sz w:val="22"/>
          <w:szCs w:val="22"/>
          <w:lang w:eastAsia="pl-PL"/>
        </w:rPr>
        <w:t>modyfikacj</w:t>
      </w:r>
      <w:r w:rsidR="00CC75C7" w:rsidRPr="00D66338">
        <w:rPr>
          <w:rFonts w:ascii="Calibri" w:eastAsia="Times New Roman" w:hAnsi="Calibri" w:cs="Calibri"/>
          <w:sz w:val="22"/>
          <w:szCs w:val="22"/>
          <w:lang w:eastAsia="pl-PL"/>
        </w:rPr>
        <w:t>ę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celów </w:t>
      </w:r>
      <w:r w:rsidR="00654328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wyznaczonych 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na </w:t>
      </w:r>
      <w:r w:rsidR="00654328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rok 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>2030</w:t>
      </w:r>
      <w:r w:rsidR="00CC75C7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dla pojazdów dostawczych (40% zamiast obecnych 50% redukcji)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. </w:t>
      </w:r>
      <w:r w:rsidR="000F0FEA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Wysokość celów </w:t>
      </w:r>
      <w:r w:rsidR="00CC75C7" w:rsidRPr="00D66338">
        <w:rPr>
          <w:rFonts w:ascii="Calibri" w:eastAsia="Times New Roman" w:hAnsi="Calibri" w:cs="Calibri"/>
          <w:sz w:val="22"/>
          <w:szCs w:val="22"/>
          <w:lang w:eastAsia="pl-PL"/>
        </w:rPr>
        <w:t>pośredni</w:t>
      </w:r>
      <w:r w:rsidR="000F0FEA" w:rsidRPr="00D66338">
        <w:rPr>
          <w:rFonts w:ascii="Calibri" w:eastAsia="Times New Roman" w:hAnsi="Calibri" w:cs="Calibri"/>
          <w:sz w:val="22"/>
          <w:szCs w:val="22"/>
          <w:lang w:eastAsia="pl-PL"/>
        </w:rPr>
        <w:t>ch</w:t>
      </w:r>
      <w:r w:rsidR="00CC75C7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dla samochodów osobowych (redukcja o 55%) pozostan</w:t>
      </w:r>
      <w:r w:rsidR="000F0FEA" w:rsidRPr="00D66338">
        <w:rPr>
          <w:rFonts w:ascii="Calibri" w:eastAsia="Times New Roman" w:hAnsi="Calibri" w:cs="Calibri"/>
          <w:sz w:val="22"/>
          <w:szCs w:val="22"/>
          <w:lang w:eastAsia="pl-PL"/>
        </w:rPr>
        <w:t>ie</w:t>
      </w:r>
      <w:r w:rsidR="00CC75C7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niezmienion</w:t>
      </w:r>
      <w:r w:rsidR="000F0FEA" w:rsidRPr="00D66338">
        <w:rPr>
          <w:rFonts w:ascii="Calibri" w:eastAsia="Times New Roman" w:hAnsi="Calibri" w:cs="Calibri"/>
          <w:sz w:val="22"/>
          <w:szCs w:val="22"/>
          <w:lang w:eastAsia="pl-PL"/>
        </w:rPr>
        <w:t>a, ale modyfikacji ulegnie sposób ich realizacji – pod uwagę ma być brana średnia z kolejnych trzech lat. Podobny mechanizm wprowadzono w 202</w:t>
      </w:r>
      <w:r w:rsidR="00E10C1A" w:rsidRPr="00D66338">
        <w:rPr>
          <w:rFonts w:ascii="Calibri" w:eastAsia="Times New Roman" w:hAnsi="Calibri" w:cs="Calibri"/>
          <w:sz w:val="22"/>
          <w:szCs w:val="22"/>
          <w:lang w:eastAsia="pl-PL"/>
        </w:rPr>
        <w:t>5</w:t>
      </w:r>
      <w:r w:rsidR="000F0FEA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r. </w:t>
      </w:r>
      <w:r w:rsidR="00E10C1A" w:rsidRPr="00D66338">
        <w:rPr>
          <w:rFonts w:ascii="Calibri" w:eastAsia="Times New Roman" w:hAnsi="Calibri" w:cs="Calibri"/>
          <w:sz w:val="22"/>
          <w:szCs w:val="22"/>
          <w:lang w:eastAsia="pl-PL"/>
        </w:rPr>
        <w:t>pod kątem</w:t>
      </w:r>
      <w:r w:rsidR="000F0FEA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aktualnie obowiązujących celów, a mimo to europejski rynek e-</w:t>
      </w:r>
      <w:proofErr w:type="spellStart"/>
      <w:r w:rsidR="000F0FEA" w:rsidRPr="00D66338">
        <w:rPr>
          <w:rFonts w:ascii="Calibri" w:eastAsia="Times New Roman" w:hAnsi="Calibri" w:cs="Calibri"/>
          <w:sz w:val="22"/>
          <w:szCs w:val="22"/>
          <w:lang w:eastAsia="pl-PL"/>
        </w:rPr>
        <w:t>mobility</w:t>
      </w:r>
      <w:proofErr w:type="spellEnd"/>
      <w:r w:rsidR="000F0FEA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notuje rekordowe wzrosty. </w:t>
      </w:r>
    </w:p>
    <w:p w14:paraId="7CCD36F9" w14:textId="755F2AA8" w:rsidR="007F0320" w:rsidRPr="00D66338" w:rsidRDefault="0000792A" w:rsidP="00D6633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- </w:t>
      </w:r>
      <w:r w:rsidR="00431854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Przy uwzględnieniu różnic w szczegółowych zapisach, nowy kształt regulacji dotyczących samochodów osobowych i dostawczych można porównać do </w:t>
      </w:r>
      <w:r w:rsidR="004B360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aktualnych </w:t>
      </w:r>
      <w:r w:rsidR="00431854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celów d</w:t>
      </w:r>
      <w:r w:rsidR="00727E0D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la </w:t>
      </w:r>
      <w:r w:rsidR="00431854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pojazdów ciężkich, określonych w </w:t>
      </w:r>
      <w:r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innym </w:t>
      </w:r>
      <w:r w:rsidR="00431854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rozporządzeniu </w:t>
      </w:r>
      <w:r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(</w:t>
      </w:r>
      <w:r w:rsidR="00431854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2019/1242</w:t>
      </w:r>
      <w:r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)</w:t>
      </w:r>
      <w:r w:rsidR="00EE3252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. W tym przypadku docelowy poziom redukcji emisji również wynosi 90%, tyle że od roku 2040. I od początku ogłoszenia tych regulacji branża nastawiała się na niemal pełną elektryfikację sektora HDV. Podobny kurs zostanie zachowany w przypadku samochodów osobowych i dostawczych</w:t>
      </w:r>
      <w:r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, jednak zmiana</w:t>
      </w:r>
      <w:r w:rsidR="00DF501F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obowiązujących regulacji sprawi, że </w:t>
      </w:r>
      <w:r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za 10 lat</w:t>
      </w:r>
      <w:r w:rsidR="00DF501F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r. liczba rejestracji nowych</w:t>
      </w:r>
      <w:r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, osobowych</w:t>
      </w:r>
      <w:r w:rsidR="00DF501F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BEV w UE </w:t>
      </w:r>
      <w:r w:rsidR="001B264E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może być nawet o ponad 20%</w:t>
      </w:r>
      <w:r w:rsidR="00D30667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</w:t>
      </w:r>
      <w:r w:rsidR="0055501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niższa względem</w:t>
      </w:r>
      <w:r w:rsidR="00A02516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</w:t>
      </w:r>
      <w:r w:rsidR="0055501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prognozowanej w</w:t>
      </w:r>
      <w:r w:rsidR="00D30667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aktualn</w:t>
      </w:r>
      <w:r w:rsidR="0055501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ym</w:t>
      </w:r>
      <w:r w:rsidR="00D30667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stan</w:t>
      </w:r>
      <w:r w:rsidR="0055501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ie</w:t>
      </w:r>
      <w:r w:rsidR="00D30667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prawn</w:t>
      </w:r>
      <w:r w:rsidR="0055501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ym</w:t>
      </w:r>
      <w:r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. Szacujemy, że w 2035 r. zamiast 10</w:t>
      </w:r>
      <w:r w:rsidR="004F0DE7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,3</w:t>
      </w:r>
      <w:r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mln BEV z europejskich salonów wyjedzie ok. 7,</w:t>
      </w:r>
      <w:r w:rsidR="004F0DE7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8</w:t>
      </w:r>
      <w:r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mln takich pojazdów</w:t>
      </w:r>
      <w:r w:rsidR="004F0DE7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. Będzie to nadal zdecydowana większość nowo rejestrowanych samochodów w państwach członkowskich 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– </w:t>
      </w:r>
      <w:r w:rsidR="004B3601" w:rsidRPr="00D66338">
        <w:rPr>
          <w:rFonts w:ascii="Calibri" w:eastAsia="Times New Roman" w:hAnsi="Calibri" w:cs="Calibri"/>
          <w:sz w:val="22"/>
          <w:szCs w:val="22"/>
          <w:lang w:eastAsia="pl-PL"/>
        </w:rPr>
        <w:t>mówi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787CF1" w:rsidRPr="00D66338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Jan Wiśniewski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, Dyrektor Centrum Badań i Analiz PSNM. </w:t>
      </w:r>
    </w:p>
    <w:p w14:paraId="382D6A85" w14:textId="21DBCF00" w:rsidR="000D71FF" w:rsidRPr="00D66338" w:rsidRDefault="008C0C00" w:rsidP="00D6633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Projekt Komisji zawiera również inne propozycje, </w:t>
      </w:r>
      <w:r w:rsidR="00B9289C" w:rsidRPr="00D66338">
        <w:rPr>
          <w:rFonts w:ascii="Calibri" w:eastAsia="Times New Roman" w:hAnsi="Calibri" w:cs="Calibri"/>
          <w:sz w:val="22"/>
          <w:szCs w:val="22"/>
          <w:lang w:eastAsia="pl-PL"/>
        </w:rPr>
        <w:t>takie jak</w:t>
      </w:r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wprowadzenie systemu </w:t>
      </w:r>
      <w:proofErr w:type="spellStart"/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>poolingu</w:t>
      </w:r>
      <w:proofErr w:type="spellEnd"/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, który umożliwi koncernom niespełniającym celów emisyjnych odkupowanie kredytów od firm, które realizują je z nawiązką. Takie rozwiązanie </w:t>
      </w:r>
      <w:r w:rsidR="00B9289C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zapewni potężny zastrzyk finansowy producentom stawiającym na samochody elektryczne, dodatkowo obniżając konkurencyjność OEM przegrywającym wyścig technologiczny. Komisja zaproponowała </w:t>
      </w:r>
      <w:r w:rsidR="00D72317" w:rsidRPr="00D66338">
        <w:rPr>
          <w:rFonts w:ascii="Calibri" w:eastAsia="Times New Roman" w:hAnsi="Calibri" w:cs="Calibri"/>
          <w:sz w:val="22"/>
          <w:szCs w:val="22"/>
          <w:lang w:eastAsia="pl-PL"/>
        </w:rPr>
        <w:t>także</w:t>
      </w:r>
      <w:r w:rsidR="00B9289C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D72317" w:rsidRPr="00D66338">
        <w:rPr>
          <w:rFonts w:ascii="Calibri" w:eastAsia="Times New Roman" w:hAnsi="Calibri" w:cs="Calibri"/>
          <w:sz w:val="22"/>
          <w:szCs w:val="22"/>
          <w:lang w:eastAsia="pl-PL"/>
        </w:rPr>
        <w:t>m.in. regulacje mające stymulować sprzedaż małych, przystępnych cenowo samochodów elektrycznych</w:t>
      </w:r>
      <w:r w:rsidR="000D71FF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(w ramach inicjatywy Small </w:t>
      </w:r>
      <w:proofErr w:type="spellStart"/>
      <w:r w:rsidR="000D71FF" w:rsidRPr="00D66338">
        <w:rPr>
          <w:rFonts w:ascii="Calibri" w:eastAsia="Times New Roman" w:hAnsi="Calibri" w:cs="Calibri"/>
          <w:sz w:val="22"/>
          <w:szCs w:val="22"/>
          <w:lang w:eastAsia="pl-PL"/>
        </w:rPr>
        <w:t>Affordable</w:t>
      </w:r>
      <w:proofErr w:type="spellEnd"/>
      <w:r w:rsidR="000D71FF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proofErr w:type="spellStart"/>
      <w:r w:rsidR="000D71FF" w:rsidRPr="00D66338">
        <w:rPr>
          <w:rFonts w:ascii="Calibri" w:eastAsia="Times New Roman" w:hAnsi="Calibri" w:cs="Calibri"/>
          <w:sz w:val="22"/>
          <w:szCs w:val="22"/>
          <w:lang w:eastAsia="pl-PL"/>
        </w:rPr>
        <w:t>Cars</w:t>
      </w:r>
      <w:proofErr w:type="spellEnd"/>
      <w:r w:rsidR="000D71FF" w:rsidRPr="00D66338">
        <w:rPr>
          <w:rFonts w:ascii="Calibri" w:eastAsia="Times New Roman" w:hAnsi="Calibri" w:cs="Calibri"/>
          <w:sz w:val="22"/>
          <w:szCs w:val="22"/>
          <w:lang w:eastAsia="pl-PL"/>
        </w:rPr>
        <w:t>)</w:t>
      </w:r>
      <w:r w:rsidR="00FE5C47" w:rsidRPr="00D66338">
        <w:rPr>
          <w:rFonts w:ascii="Calibri" w:eastAsia="Times New Roman" w:hAnsi="Calibri" w:cs="Calibri"/>
          <w:sz w:val="22"/>
          <w:szCs w:val="22"/>
          <w:lang w:eastAsia="pl-PL"/>
        </w:rPr>
        <w:t>. Przed 2035 r. OEM wytwarzający takie pojazdy będą mogli korzystać z „</w:t>
      </w:r>
      <w:proofErr w:type="spellStart"/>
      <w:r w:rsidR="00FE5C47" w:rsidRPr="00D66338">
        <w:rPr>
          <w:rFonts w:ascii="Calibri" w:eastAsia="Times New Roman" w:hAnsi="Calibri" w:cs="Calibri"/>
          <w:sz w:val="22"/>
          <w:szCs w:val="22"/>
          <w:lang w:eastAsia="pl-PL"/>
        </w:rPr>
        <w:t>superjednostek</w:t>
      </w:r>
      <w:proofErr w:type="spellEnd"/>
      <w:r w:rsidR="00FE5C47" w:rsidRPr="00D66338">
        <w:rPr>
          <w:rFonts w:ascii="Calibri" w:eastAsia="Times New Roman" w:hAnsi="Calibri" w:cs="Calibri"/>
          <w:sz w:val="22"/>
          <w:szCs w:val="22"/>
          <w:lang w:eastAsia="pl-PL"/>
        </w:rPr>
        <w:t>” uwzględnionych w normach emisji CO</w:t>
      </w:r>
      <w:r w:rsidR="00FE5C47" w:rsidRPr="00D66338">
        <w:rPr>
          <w:rFonts w:ascii="Calibri" w:eastAsia="Times New Roman" w:hAnsi="Calibri" w:cs="Calibri"/>
          <w:sz w:val="22"/>
          <w:szCs w:val="22"/>
          <w:vertAlign w:val="subscript"/>
          <w:lang w:eastAsia="pl-PL"/>
        </w:rPr>
        <w:t>2</w:t>
      </w:r>
      <w:r w:rsidR="00FE5C47" w:rsidRPr="00D66338">
        <w:rPr>
          <w:rFonts w:ascii="Calibri" w:eastAsia="Times New Roman" w:hAnsi="Calibri" w:cs="Calibri"/>
          <w:sz w:val="22"/>
          <w:szCs w:val="22"/>
          <w:lang w:eastAsia="pl-PL"/>
        </w:rPr>
        <w:t>. W konsekwencji mogłyby liczyć na współczynnik 1,3 w obliczeniach celów emisji, co oznacza, że ​​jeśli producent sprzeda 10 małych pojazdów elektrycznych, otrzyma kredyty emisyjne o wartości 13 samochodów. Komisja zaproponowała</w:t>
      </w:r>
      <w:r w:rsidR="00D72317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również </w:t>
      </w:r>
      <w:r w:rsidR="00231CA2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obowiązki w zakresie elektryfikacji </w:t>
      </w:r>
      <w:r w:rsidR="00D72317" w:rsidRPr="00D66338">
        <w:rPr>
          <w:rFonts w:ascii="Calibri" w:eastAsia="Times New Roman" w:hAnsi="Calibri" w:cs="Calibri"/>
          <w:sz w:val="22"/>
          <w:szCs w:val="22"/>
          <w:lang w:eastAsia="pl-PL"/>
        </w:rPr>
        <w:t>flot</w:t>
      </w:r>
      <w:r w:rsidR="00231CA2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korporacyjnych. </w:t>
      </w:r>
      <w:r w:rsidR="00CC75C7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Wymagany udział </w:t>
      </w:r>
      <w:r w:rsidR="00FE5C47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osobowych i dostawczych </w:t>
      </w:r>
      <w:r w:rsidR="00CC75C7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pojazdów zeroemisyjnych </w:t>
      </w:r>
      <w:r w:rsidR="00FE5C47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użytkowanych przez duże przedsiębiorstwa ma się </w:t>
      </w:r>
      <w:r w:rsidR="00CC75C7" w:rsidRPr="00D66338">
        <w:rPr>
          <w:rFonts w:ascii="Calibri" w:eastAsia="Times New Roman" w:hAnsi="Calibri" w:cs="Calibri"/>
          <w:sz w:val="22"/>
          <w:szCs w:val="22"/>
          <w:lang w:eastAsia="pl-PL"/>
        </w:rPr>
        <w:t>różni</w:t>
      </w:r>
      <w:r w:rsidR="00FE5C47" w:rsidRPr="00D66338">
        <w:rPr>
          <w:rFonts w:ascii="Calibri" w:eastAsia="Times New Roman" w:hAnsi="Calibri" w:cs="Calibri"/>
          <w:sz w:val="22"/>
          <w:szCs w:val="22"/>
          <w:lang w:eastAsia="pl-PL"/>
        </w:rPr>
        <w:t>ć</w:t>
      </w:r>
      <w:r w:rsidR="00CC75C7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w zależności od państwa członkowskiego. W roku 2030 ma wynosić od 17% (Bułgaria) do 100% (Irlandia oraz Luksemburg). Wymogi dla Polski określono na poziomie 24% (2030 r.) oraz 45% (rok 2035). </w:t>
      </w:r>
      <w:r w:rsidR="000D71FF" w:rsidRPr="00D66338">
        <w:rPr>
          <w:rFonts w:ascii="Calibri" w:hAnsi="Calibri" w:cs="Calibri"/>
          <w:sz w:val="22"/>
          <w:szCs w:val="22"/>
        </w:rPr>
        <w:t xml:space="preserve">Komisja zamierza również utworzyć zrównoważony ekosystem baterii w Europie i zwiększyć konkurencyjność kosztową produkcji w UE za pośrednictwem dedykowanego </w:t>
      </w:r>
      <w:r w:rsidR="000D71FF" w:rsidRPr="00D66338">
        <w:rPr>
          <w:rFonts w:ascii="Calibri" w:hAnsi="Calibri" w:cs="Calibri"/>
          <w:bCs/>
          <w:sz w:val="22"/>
          <w:szCs w:val="22"/>
        </w:rPr>
        <w:t>programu</w:t>
      </w:r>
      <w:r w:rsidR="00FE5C47" w:rsidRPr="00D66338">
        <w:rPr>
          <w:rFonts w:ascii="Calibri" w:hAnsi="Calibri" w:cs="Calibri"/>
          <w:bCs/>
          <w:sz w:val="22"/>
          <w:szCs w:val="22"/>
        </w:rPr>
        <w:t xml:space="preserve"> („Battery Booster”) o wartości 1,8 mld EUR</w:t>
      </w:r>
      <w:r w:rsidR="000D71FF" w:rsidRPr="00D66338">
        <w:rPr>
          <w:rFonts w:ascii="Calibri" w:hAnsi="Calibri" w:cs="Calibri"/>
          <w:bCs/>
          <w:sz w:val="22"/>
          <w:szCs w:val="22"/>
        </w:rPr>
        <w:t>.</w:t>
      </w:r>
      <w:r w:rsidR="000D71FF" w:rsidRPr="00D66338">
        <w:rPr>
          <w:rFonts w:ascii="Calibri" w:hAnsi="Calibri" w:cs="Calibri"/>
          <w:sz w:val="22"/>
          <w:szCs w:val="22"/>
        </w:rPr>
        <w:t xml:space="preserve"> </w:t>
      </w:r>
      <w:r w:rsidR="000D71FF" w:rsidRPr="00D66338">
        <w:rPr>
          <w:rFonts w:ascii="Calibri" w:eastAsia="Times New Roman" w:hAnsi="Calibri" w:cs="Calibri"/>
          <w:sz w:val="22"/>
          <w:szCs w:val="22"/>
          <w:lang w:eastAsia="pl-PL"/>
        </w:rPr>
        <w:t>Ponadto dzięki nowym przepisom dotyczącym etykietowania pojazdów konsumenci mają być informowani przed zakupem nowych i używanych samochodów osobowych i dostawczych na temat efektywności paliwowej oraz emisji CO</w:t>
      </w:r>
      <w:r w:rsidR="000D71FF" w:rsidRPr="00D66338">
        <w:rPr>
          <w:rFonts w:ascii="Calibri" w:eastAsia="Times New Roman" w:hAnsi="Calibri" w:cs="Calibri"/>
          <w:sz w:val="22"/>
          <w:szCs w:val="22"/>
          <w:vertAlign w:val="subscript"/>
          <w:lang w:eastAsia="pl-PL"/>
        </w:rPr>
        <w:t>2</w:t>
      </w:r>
      <w:r w:rsidR="000D71FF" w:rsidRPr="00D66338">
        <w:rPr>
          <w:rFonts w:ascii="Calibri" w:eastAsia="Times New Roman" w:hAnsi="Calibri" w:cs="Calibri"/>
          <w:sz w:val="22"/>
          <w:szCs w:val="22"/>
          <w:lang w:eastAsia="pl-PL"/>
        </w:rPr>
        <w:t>, a także na temat tego, czy samochód został wyprodukowany w UE. </w:t>
      </w:r>
    </w:p>
    <w:p w14:paraId="0C603C5F" w14:textId="7333DD10" w:rsidR="00786CAD" w:rsidRPr="00D66338" w:rsidRDefault="00430239" w:rsidP="00D6633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lastRenderedPageBreak/>
        <w:t>PSNM podkreśla, że r</w:t>
      </w:r>
      <w:r w:rsidR="004B3601" w:rsidRPr="00D66338">
        <w:rPr>
          <w:rFonts w:ascii="Calibri" w:eastAsia="Times New Roman" w:hAnsi="Calibri" w:cs="Calibri"/>
          <w:sz w:val="22"/>
          <w:szCs w:val="22"/>
          <w:lang w:eastAsia="pl-PL"/>
        </w:rPr>
        <w:t>ządy n</w:t>
      </w:r>
      <w:r w:rsidR="00173A47" w:rsidRPr="00D66338">
        <w:rPr>
          <w:rFonts w:ascii="Calibri" w:eastAsia="Times New Roman" w:hAnsi="Calibri" w:cs="Calibri"/>
          <w:sz w:val="22"/>
          <w:szCs w:val="22"/>
          <w:lang w:eastAsia="pl-PL"/>
        </w:rPr>
        <w:t>iektór</w:t>
      </w:r>
      <w:r w:rsidR="004B3601" w:rsidRPr="00D66338">
        <w:rPr>
          <w:rFonts w:ascii="Calibri" w:eastAsia="Times New Roman" w:hAnsi="Calibri" w:cs="Calibri"/>
          <w:sz w:val="22"/>
          <w:szCs w:val="22"/>
          <w:lang w:eastAsia="pl-PL"/>
        </w:rPr>
        <w:t>ych</w:t>
      </w:r>
      <w:r w:rsidR="00A76475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państw</w:t>
      </w:r>
      <w:r w:rsidR="00173A47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członkowskich</w:t>
      </w:r>
      <w:r w:rsidR="00A76475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8C0C00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optujących za </w:t>
      </w:r>
      <w:r w:rsidR="00CC75C7" w:rsidRPr="00D66338">
        <w:rPr>
          <w:rFonts w:ascii="Calibri" w:eastAsia="Times New Roman" w:hAnsi="Calibri" w:cs="Calibri"/>
          <w:sz w:val="22"/>
          <w:szCs w:val="22"/>
          <w:lang w:eastAsia="pl-PL"/>
        </w:rPr>
        <w:t>złagodzeniem celów emisyjnych</w:t>
      </w:r>
      <w:r w:rsidR="008C0C00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, </w:t>
      </w:r>
      <w:r w:rsidR="00A76475" w:rsidRPr="00D66338">
        <w:rPr>
          <w:rFonts w:ascii="Calibri" w:eastAsia="Times New Roman" w:hAnsi="Calibri" w:cs="Calibri"/>
          <w:sz w:val="22"/>
          <w:szCs w:val="22"/>
          <w:lang w:eastAsia="pl-PL"/>
        </w:rPr>
        <w:t>zdaj</w:t>
      </w:r>
      <w:r w:rsidR="004B3601" w:rsidRPr="00D66338">
        <w:rPr>
          <w:rFonts w:ascii="Calibri" w:eastAsia="Times New Roman" w:hAnsi="Calibri" w:cs="Calibri"/>
          <w:sz w:val="22"/>
          <w:szCs w:val="22"/>
          <w:lang w:eastAsia="pl-PL"/>
        </w:rPr>
        <w:t>ą</w:t>
      </w:r>
      <w:r w:rsidR="00A76475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się nie zauważać, że </w:t>
      </w:r>
      <w:r w:rsidR="00173A47" w:rsidRPr="00D66338">
        <w:rPr>
          <w:rFonts w:ascii="Calibri" w:eastAsia="Times New Roman" w:hAnsi="Calibri" w:cs="Calibri"/>
          <w:sz w:val="22"/>
          <w:szCs w:val="22"/>
          <w:lang w:eastAsia="pl-PL"/>
        </w:rPr>
        <w:t>to</w:t>
      </w:r>
      <w:r w:rsidR="003F600E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173A47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nie elektryfikacja i przepisy unijne są główną przyczyną </w:t>
      </w:r>
      <w:r w:rsidR="00A76475" w:rsidRPr="00D66338">
        <w:rPr>
          <w:rFonts w:ascii="Calibri" w:eastAsia="Times New Roman" w:hAnsi="Calibri" w:cs="Calibri"/>
          <w:sz w:val="22"/>
          <w:szCs w:val="22"/>
          <w:lang w:eastAsia="pl-PL"/>
        </w:rPr>
        <w:t>pogarszając</w:t>
      </w:r>
      <w:r w:rsidR="00173A47" w:rsidRPr="00D66338">
        <w:rPr>
          <w:rFonts w:ascii="Calibri" w:eastAsia="Times New Roman" w:hAnsi="Calibri" w:cs="Calibri"/>
          <w:sz w:val="22"/>
          <w:szCs w:val="22"/>
          <w:lang w:eastAsia="pl-PL"/>
        </w:rPr>
        <w:t>ej</w:t>
      </w:r>
      <w:r w:rsidR="00A76475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się pozycj</w:t>
      </w:r>
      <w:r w:rsidR="00173A47" w:rsidRPr="00D66338">
        <w:rPr>
          <w:rFonts w:ascii="Calibri" w:eastAsia="Times New Roman" w:hAnsi="Calibri" w:cs="Calibri"/>
          <w:sz w:val="22"/>
          <w:szCs w:val="22"/>
          <w:lang w:eastAsia="pl-PL"/>
        </w:rPr>
        <w:t>i</w:t>
      </w:r>
      <w:r w:rsidR="00A76475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europejskiej branży </w:t>
      </w:r>
      <w:proofErr w:type="spellStart"/>
      <w:r w:rsidR="00A76475" w:rsidRPr="00D66338">
        <w:rPr>
          <w:rFonts w:ascii="Calibri" w:eastAsia="Times New Roman" w:hAnsi="Calibri" w:cs="Calibri"/>
          <w:sz w:val="22"/>
          <w:szCs w:val="22"/>
          <w:lang w:eastAsia="pl-PL"/>
        </w:rPr>
        <w:t>automotive</w:t>
      </w:r>
      <w:proofErr w:type="spellEnd"/>
      <w:r w:rsidR="00173A47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, </w:t>
      </w:r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coraz częstszego </w:t>
      </w:r>
      <w:r w:rsidR="00173A47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zamykania zakładów i </w:t>
      </w:r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masowych </w:t>
      </w:r>
      <w:r w:rsidR="00173A47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zwolnień. </w:t>
      </w:r>
    </w:p>
    <w:p w14:paraId="5538BC35" w14:textId="29E24B4E" w:rsidR="00787CF1" w:rsidRPr="00D66338" w:rsidRDefault="00430239" w:rsidP="00D6633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- </w:t>
      </w:r>
      <w:r w:rsidR="0055501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Nie ma szans na to, że jakakolwiek zmiana </w:t>
      </w:r>
      <w:r w:rsidR="004F0DE7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przepisów</w:t>
      </w:r>
      <w:r w:rsidR="0055501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zatrzyma </w:t>
      </w:r>
      <w:r w:rsidR="00D72317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globalny </w:t>
      </w:r>
      <w:r w:rsidR="0055501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rozwój </w:t>
      </w:r>
      <w:proofErr w:type="spellStart"/>
      <w:r w:rsidR="0055501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elektromobilności</w:t>
      </w:r>
      <w:proofErr w:type="spellEnd"/>
      <w:r w:rsidR="0055501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i przywróci sytuację rynkową sprzed dwóch czy trzech dekad. </w:t>
      </w:r>
      <w:r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Nasz p</w:t>
      </w:r>
      <w:r w:rsidR="00173A47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rzemysł traci konkurencyjność</w:t>
      </w:r>
      <w:r w:rsidR="0055501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nie tyle przez </w:t>
      </w:r>
      <w:r w:rsidR="004F0DE7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unijne regulacje</w:t>
      </w:r>
      <w:r w:rsidR="0055501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, ale przede wszystkim dlatego</w:t>
      </w:r>
      <w:r w:rsidR="00431854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,</w:t>
      </w:r>
      <w:r w:rsidR="0055501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że</w:t>
      </w:r>
      <w:r w:rsidR="00173A47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nie radzi sobie z technologiczną i cenową presją ze strony producentów z innych części świata.</w:t>
      </w:r>
      <w:r w:rsidR="00431854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</w:t>
      </w:r>
      <w:r w:rsidR="00EE3252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Nie może być inaczej</w:t>
      </w:r>
      <w:r w:rsidR="0055501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,</w:t>
      </w:r>
      <w:r w:rsidR="00EE3252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skoro USA wydają na badania i rozwój ponad dwa razy więcej niż Unia Europejska. </w:t>
      </w:r>
      <w:r w:rsidR="00431854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W Chinach </w:t>
      </w:r>
      <w:r w:rsidR="004B360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już </w:t>
      </w:r>
      <w:r w:rsidR="00D72317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w </w:t>
      </w:r>
      <w:r w:rsidR="004B360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2024 r. 2/3 </w:t>
      </w:r>
      <w:r w:rsidR="00431854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samoch</w:t>
      </w:r>
      <w:r w:rsidR="004B360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odów </w:t>
      </w:r>
      <w:r w:rsidR="00431854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elektryczny</w:t>
      </w:r>
      <w:r w:rsidR="004B360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ch</w:t>
      </w:r>
      <w:r w:rsidR="00431854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</w:t>
      </w:r>
      <w:r w:rsidR="004B360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było oferowane w cenach niższych od pojazdów spalinowych i to bez uwzględnienia subsydiów. Liczymy, że decydenci, zarówno na poziomie unijnym jak i krajowym, potraktują zmianę celów emisyjnych jako sygnał alarmowy</w:t>
      </w:r>
      <w:r w:rsidR="00A76475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</w:t>
      </w:r>
      <w:r w:rsidR="004B360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oraz zintensyfikują prace nad spójną i ambitną strategią transformacji europejskiego przemysłu motoryzacyjnego. </w:t>
      </w:r>
      <w:r w:rsidR="00D30667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Instrumenty wsparcia zaproponowane </w:t>
      </w:r>
      <w:r w:rsidR="00555011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dziś </w:t>
      </w:r>
      <w:r w:rsidR="00D30667" w:rsidRPr="00D66338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przez Komisję równolegle z projektem osłabienia celów emisyjnych nie wystarczą, aby nadrobić stracony do tej pory dystans</w:t>
      </w:r>
      <w:r w:rsidR="004B360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– wskazuje </w:t>
      </w:r>
      <w:r w:rsidR="00173A47" w:rsidRPr="00D66338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Aleksander Rajch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, </w:t>
      </w:r>
      <w:r w:rsidR="00D66338">
        <w:rPr>
          <w:rFonts w:ascii="Calibri" w:eastAsia="Times New Roman" w:hAnsi="Calibri" w:cs="Calibri"/>
          <w:sz w:val="22"/>
          <w:szCs w:val="22"/>
          <w:lang w:eastAsia="pl-PL"/>
        </w:rPr>
        <w:t>Członek Zarządu</w:t>
      </w:r>
      <w:r w:rsidR="00787CF1"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 PSNM. </w:t>
      </w:r>
    </w:p>
    <w:p w14:paraId="7C991777" w14:textId="77777777" w:rsidR="00787CF1" w:rsidRPr="00D66338" w:rsidRDefault="00787CF1" w:rsidP="00D66338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82624BF" w14:textId="094BE343" w:rsidR="00787CF1" w:rsidRPr="00D66338" w:rsidRDefault="00787CF1" w:rsidP="00D66338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 xml:space="preserve">Więcej informacji na </w:t>
      </w:r>
      <w:hyperlink r:id="rId7" w:history="1">
        <w:r w:rsidR="001528E4" w:rsidRPr="00D66338">
          <w:rPr>
            <w:rStyle w:val="Hipercze"/>
            <w:rFonts w:ascii="Calibri" w:eastAsia="Times New Roman" w:hAnsi="Calibri" w:cs="Calibri"/>
            <w:sz w:val="22"/>
            <w:szCs w:val="22"/>
            <w:lang w:eastAsia="pl-PL"/>
          </w:rPr>
          <w:t>www.psnm.org</w:t>
        </w:r>
      </w:hyperlink>
    </w:p>
    <w:p w14:paraId="0A5C7840" w14:textId="77777777" w:rsidR="00787CF1" w:rsidRPr="00D66338" w:rsidRDefault="00787CF1" w:rsidP="00D66338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87DDFF5" w14:textId="77777777" w:rsidR="00787CF1" w:rsidRPr="00D66338" w:rsidRDefault="00787CF1" w:rsidP="00D66338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>--</w:t>
      </w:r>
    </w:p>
    <w:p w14:paraId="30057007" w14:textId="77777777" w:rsidR="00787CF1" w:rsidRPr="00D66338" w:rsidRDefault="00787CF1" w:rsidP="00D66338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BA794F5" w14:textId="77777777" w:rsidR="00787CF1" w:rsidRPr="00D66338" w:rsidRDefault="00787CF1" w:rsidP="00D66338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D66338">
        <w:rPr>
          <w:rFonts w:ascii="Calibri" w:eastAsia="Times New Roman" w:hAnsi="Calibri" w:cs="Calibri"/>
          <w:sz w:val="22"/>
          <w:szCs w:val="22"/>
          <w:lang w:eastAsia="pl-PL"/>
        </w:rPr>
        <w:t>Kontakt</w:t>
      </w:r>
    </w:p>
    <w:p w14:paraId="470A61BB" w14:textId="77777777" w:rsidR="00787CF1" w:rsidRPr="00D66338" w:rsidRDefault="00787CF1" w:rsidP="00D66338">
      <w:pPr>
        <w:spacing w:line="276" w:lineRule="auto"/>
        <w:jc w:val="both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</w:p>
    <w:p w14:paraId="642B8151" w14:textId="77777777" w:rsidR="001528E4" w:rsidRPr="00D66338" w:rsidRDefault="001528E4" w:rsidP="00D6633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66338">
        <w:rPr>
          <w:rStyle w:val="normaltextrun"/>
          <w:rFonts w:ascii="Calibri" w:eastAsiaTheme="majorEastAsia" w:hAnsi="Calibri" w:cs="Calibri"/>
          <w:sz w:val="22"/>
          <w:szCs w:val="22"/>
        </w:rPr>
        <w:t>Maciej Gis, Dyrektor Biura Komunikacji PSNM</w:t>
      </w:r>
    </w:p>
    <w:p w14:paraId="740CF696" w14:textId="58ADB9EF" w:rsidR="001528E4" w:rsidRPr="00D66338" w:rsidRDefault="001528E4" w:rsidP="00D6633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</w:pPr>
      <w:r w:rsidRPr="00D66338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e-mail: </w:t>
      </w:r>
      <w:hyperlink r:id="rId8" w:history="1">
        <w:r w:rsidRPr="00D66338">
          <w:rPr>
            <w:rStyle w:val="Hipercze"/>
            <w:rFonts w:ascii="Calibri" w:hAnsi="Calibri" w:cs="Calibri"/>
            <w:sz w:val="22"/>
            <w:szCs w:val="22"/>
            <w:lang w:val="en-US"/>
          </w:rPr>
          <w:t>maciej.gis@psnm.org</w:t>
        </w:r>
      </w:hyperlink>
      <w:r w:rsidRPr="00D66338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; tel.: (+48) 606 740</w:t>
      </w:r>
      <w:r w:rsidRPr="00D66338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 </w:t>
      </w:r>
      <w:r w:rsidRPr="00D66338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357</w:t>
      </w:r>
    </w:p>
    <w:p w14:paraId="7FD8E9EA" w14:textId="77777777" w:rsidR="00716957" w:rsidRPr="00D66338" w:rsidRDefault="00716957" w:rsidP="00D6633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FECE60C" w14:textId="77777777" w:rsidR="00786CAD" w:rsidRPr="00D66338" w:rsidRDefault="00786CAD" w:rsidP="00D66338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786CAD" w:rsidRPr="00D66338" w:rsidSect="00232820">
      <w:headerReference w:type="default" r:id="rId9"/>
      <w:footerReference w:type="default" r:id="rId10"/>
      <w:pgSz w:w="11900" w:h="16840"/>
      <w:pgMar w:top="2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63EF" w14:textId="77777777" w:rsidR="00E85F80" w:rsidRDefault="00E85F80" w:rsidP="00096C4B">
      <w:r>
        <w:separator/>
      </w:r>
    </w:p>
  </w:endnote>
  <w:endnote w:type="continuationSeparator" w:id="0">
    <w:p w14:paraId="064E193F" w14:textId="77777777" w:rsidR="00E85F80" w:rsidRDefault="00E85F80" w:rsidP="0009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EFF8" w14:textId="4E6CA520" w:rsidR="00096C4B" w:rsidRDefault="00551AB0">
    <w:pPr>
      <w:pStyle w:val="Stopka"/>
    </w:pPr>
    <w:r>
      <w:rPr>
        <w:noProof/>
      </w:rPr>
      <w:drawing>
        <wp:anchor distT="0" distB="0" distL="114300" distR="114300" simplePos="0" relativeHeight="251660287" behindDoc="0" locked="0" layoutInCell="1" allowOverlap="1" wp14:anchorId="7A17ED27" wp14:editId="440F67C8">
          <wp:simplePos x="0" y="0"/>
          <wp:positionH relativeFrom="margin">
            <wp:posOffset>-300355</wp:posOffset>
          </wp:positionH>
          <wp:positionV relativeFrom="page">
            <wp:posOffset>9969196</wp:posOffset>
          </wp:positionV>
          <wp:extent cx="6352633" cy="483090"/>
          <wp:effectExtent l="0" t="0" r="0" b="0"/>
          <wp:wrapNone/>
          <wp:docPr id="682684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8480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2633" cy="48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BEC49" w14:textId="77777777" w:rsidR="00096C4B" w:rsidRDefault="0009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660B" w14:textId="77777777" w:rsidR="00E85F80" w:rsidRDefault="00E85F80" w:rsidP="00096C4B">
      <w:r>
        <w:separator/>
      </w:r>
    </w:p>
  </w:footnote>
  <w:footnote w:type="continuationSeparator" w:id="0">
    <w:p w14:paraId="1CF4BD2D" w14:textId="77777777" w:rsidR="00E85F80" w:rsidRDefault="00E85F80" w:rsidP="0009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2995" w14:textId="7BDA7EBF" w:rsidR="00096C4B" w:rsidRDefault="00422242">
    <w:pPr>
      <w:pStyle w:val="Nagwek"/>
    </w:pPr>
    <w:r>
      <w:rPr>
        <w:noProof/>
      </w:rPr>
      <w:drawing>
        <wp:anchor distT="0" distB="0" distL="114300" distR="114300" simplePos="0" relativeHeight="251661311" behindDoc="0" locked="0" layoutInCell="1" allowOverlap="1" wp14:anchorId="083D6298" wp14:editId="499DB8EE">
          <wp:simplePos x="0" y="0"/>
          <wp:positionH relativeFrom="column">
            <wp:posOffset>0</wp:posOffset>
          </wp:positionH>
          <wp:positionV relativeFrom="paragraph">
            <wp:posOffset>-202261</wp:posOffset>
          </wp:positionV>
          <wp:extent cx="5756910" cy="934085"/>
          <wp:effectExtent l="0" t="0" r="0" b="5715"/>
          <wp:wrapNone/>
          <wp:docPr id="1059273252" name="Obraz 2" descr="Obraz zawierający Grafika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3252" name="Obraz 2" descr="Obraz zawierający Grafika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51990" w14:textId="77777777" w:rsidR="00096C4B" w:rsidRDefault="0009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458"/>
    <w:multiLevelType w:val="hybridMultilevel"/>
    <w:tmpl w:val="1BE47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7E73"/>
    <w:multiLevelType w:val="hybridMultilevel"/>
    <w:tmpl w:val="C62899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8773D6"/>
    <w:multiLevelType w:val="hybridMultilevel"/>
    <w:tmpl w:val="12CEB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187C"/>
    <w:multiLevelType w:val="multilevel"/>
    <w:tmpl w:val="14C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53648"/>
    <w:multiLevelType w:val="hybridMultilevel"/>
    <w:tmpl w:val="41664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4449B"/>
    <w:multiLevelType w:val="hybridMultilevel"/>
    <w:tmpl w:val="494EB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D55C8"/>
    <w:multiLevelType w:val="multilevel"/>
    <w:tmpl w:val="348E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07443"/>
    <w:multiLevelType w:val="multilevel"/>
    <w:tmpl w:val="1A88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B4834"/>
    <w:multiLevelType w:val="hybridMultilevel"/>
    <w:tmpl w:val="7234BBF6"/>
    <w:lvl w:ilvl="0" w:tplc="6D48E5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953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044725">
    <w:abstractNumId w:val="2"/>
  </w:num>
  <w:num w:numId="3" w16cid:durableId="650447422">
    <w:abstractNumId w:val="7"/>
  </w:num>
  <w:num w:numId="4" w16cid:durableId="1450397396">
    <w:abstractNumId w:val="3"/>
  </w:num>
  <w:num w:numId="5" w16cid:durableId="530647802">
    <w:abstractNumId w:val="6"/>
  </w:num>
  <w:num w:numId="6" w16cid:durableId="1319043254">
    <w:abstractNumId w:val="8"/>
  </w:num>
  <w:num w:numId="7" w16cid:durableId="825316403">
    <w:abstractNumId w:val="1"/>
  </w:num>
  <w:num w:numId="8" w16cid:durableId="1398165686">
    <w:abstractNumId w:val="0"/>
  </w:num>
  <w:num w:numId="9" w16cid:durableId="581184652">
    <w:abstractNumId w:val="4"/>
  </w:num>
  <w:num w:numId="10" w16cid:durableId="1805198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A7"/>
    <w:rsid w:val="0000792A"/>
    <w:rsid w:val="0003721C"/>
    <w:rsid w:val="00053D50"/>
    <w:rsid w:val="000608F2"/>
    <w:rsid w:val="0008513F"/>
    <w:rsid w:val="00085C33"/>
    <w:rsid w:val="00096C4B"/>
    <w:rsid w:val="000B6186"/>
    <w:rsid w:val="000C0FE4"/>
    <w:rsid w:val="000C3267"/>
    <w:rsid w:val="000D71FF"/>
    <w:rsid w:val="000F0FEA"/>
    <w:rsid w:val="0011495F"/>
    <w:rsid w:val="001174CE"/>
    <w:rsid w:val="001208AB"/>
    <w:rsid w:val="001528E4"/>
    <w:rsid w:val="00173A47"/>
    <w:rsid w:val="00175EF0"/>
    <w:rsid w:val="001A1477"/>
    <w:rsid w:val="001B264E"/>
    <w:rsid w:val="001C30D0"/>
    <w:rsid w:val="001C38BF"/>
    <w:rsid w:val="001C57FD"/>
    <w:rsid w:val="001F4DEF"/>
    <w:rsid w:val="00231CA2"/>
    <w:rsid w:val="00232820"/>
    <w:rsid w:val="002509BF"/>
    <w:rsid w:val="00287DD2"/>
    <w:rsid w:val="00307007"/>
    <w:rsid w:val="00313B21"/>
    <w:rsid w:val="003323A9"/>
    <w:rsid w:val="00393C65"/>
    <w:rsid w:val="003A092F"/>
    <w:rsid w:val="003D6565"/>
    <w:rsid w:val="003F600E"/>
    <w:rsid w:val="004123A2"/>
    <w:rsid w:val="00412878"/>
    <w:rsid w:val="00422242"/>
    <w:rsid w:val="004246E7"/>
    <w:rsid w:val="00430239"/>
    <w:rsid w:val="00431854"/>
    <w:rsid w:val="004624F6"/>
    <w:rsid w:val="00494030"/>
    <w:rsid w:val="004B3601"/>
    <w:rsid w:val="004D7146"/>
    <w:rsid w:val="004E1F2C"/>
    <w:rsid w:val="004F0DE7"/>
    <w:rsid w:val="00503A64"/>
    <w:rsid w:val="00520EA9"/>
    <w:rsid w:val="00530CC2"/>
    <w:rsid w:val="005404E1"/>
    <w:rsid w:val="00551AB0"/>
    <w:rsid w:val="005544FE"/>
    <w:rsid w:val="00555011"/>
    <w:rsid w:val="0056239B"/>
    <w:rsid w:val="00563ADD"/>
    <w:rsid w:val="00570F09"/>
    <w:rsid w:val="005B145E"/>
    <w:rsid w:val="005C5607"/>
    <w:rsid w:val="005E1AA2"/>
    <w:rsid w:val="005E2DFC"/>
    <w:rsid w:val="00633DAF"/>
    <w:rsid w:val="00642296"/>
    <w:rsid w:val="00643FAB"/>
    <w:rsid w:val="00654328"/>
    <w:rsid w:val="00657E34"/>
    <w:rsid w:val="006C7FB9"/>
    <w:rsid w:val="00703E81"/>
    <w:rsid w:val="00716957"/>
    <w:rsid w:val="00727E0D"/>
    <w:rsid w:val="00732D01"/>
    <w:rsid w:val="0077298A"/>
    <w:rsid w:val="00786CAD"/>
    <w:rsid w:val="00787CF1"/>
    <w:rsid w:val="007B6846"/>
    <w:rsid w:val="007D6DD8"/>
    <w:rsid w:val="007F0320"/>
    <w:rsid w:val="00814070"/>
    <w:rsid w:val="00832C9A"/>
    <w:rsid w:val="0086170E"/>
    <w:rsid w:val="0087146B"/>
    <w:rsid w:val="008C0C00"/>
    <w:rsid w:val="008C5CF7"/>
    <w:rsid w:val="00906453"/>
    <w:rsid w:val="009113D2"/>
    <w:rsid w:val="009565B1"/>
    <w:rsid w:val="009B24EC"/>
    <w:rsid w:val="009B3411"/>
    <w:rsid w:val="00A02516"/>
    <w:rsid w:val="00A03009"/>
    <w:rsid w:val="00A04D4F"/>
    <w:rsid w:val="00A21788"/>
    <w:rsid w:val="00A31461"/>
    <w:rsid w:val="00A42383"/>
    <w:rsid w:val="00A61088"/>
    <w:rsid w:val="00A76475"/>
    <w:rsid w:val="00AA0418"/>
    <w:rsid w:val="00AB7F62"/>
    <w:rsid w:val="00AD5F17"/>
    <w:rsid w:val="00AE52CD"/>
    <w:rsid w:val="00AE64F4"/>
    <w:rsid w:val="00B9289C"/>
    <w:rsid w:val="00B94DF6"/>
    <w:rsid w:val="00BB1270"/>
    <w:rsid w:val="00BE718D"/>
    <w:rsid w:val="00C52AEB"/>
    <w:rsid w:val="00C56F49"/>
    <w:rsid w:val="00C61704"/>
    <w:rsid w:val="00C61A51"/>
    <w:rsid w:val="00C91224"/>
    <w:rsid w:val="00CA21F3"/>
    <w:rsid w:val="00CB676E"/>
    <w:rsid w:val="00CC75C7"/>
    <w:rsid w:val="00CF58AD"/>
    <w:rsid w:val="00D06166"/>
    <w:rsid w:val="00D0759D"/>
    <w:rsid w:val="00D11D4A"/>
    <w:rsid w:val="00D21BD2"/>
    <w:rsid w:val="00D30667"/>
    <w:rsid w:val="00D34012"/>
    <w:rsid w:val="00D5120E"/>
    <w:rsid w:val="00D66338"/>
    <w:rsid w:val="00D70D83"/>
    <w:rsid w:val="00D72317"/>
    <w:rsid w:val="00DB0048"/>
    <w:rsid w:val="00DE1C86"/>
    <w:rsid w:val="00DF501F"/>
    <w:rsid w:val="00E10C1A"/>
    <w:rsid w:val="00E17643"/>
    <w:rsid w:val="00E7191D"/>
    <w:rsid w:val="00E85F80"/>
    <w:rsid w:val="00EB32CB"/>
    <w:rsid w:val="00EB3D62"/>
    <w:rsid w:val="00EB463E"/>
    <w:rsid w:val="00EE3252"/>
    <w:rsid w:val="00F375E7"/>
    <w:rsid w:val="00F56692"/>
    <w:rsid w:val="00FB5FBF"/>
    <w:rsid w:val="00FC50DD"/>
    <w:rsid w:val="00FC70C1"/>
    <w:rsid w:val="00FE5C47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6D1E"/>
  <w15:chartTrackingRefBased/>
  <w15:docId w15:val="{C39292D7-AEC1-954A-AE02-C90714A4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86C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86CA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ci10">
    <w:name w:val="Spis treści 10"/>
    <w:basedOn w:val="Spistreci2"/>
    <w:qFormat/>
    <w:rsid w:val="00A61088"/>
    <w:pPr>
      <w:tabs>
        <w:tab w:val="left" w:pos="567"/>
        <w:tab w:val="left" w:pos="900"/>
        <w:tab w:val="right" w:leader="dot" w:pos="9488"/>
      </w:tabs>
      <w:spacing w:before="120" w:after="0" w:line="288" w:lineRule="auto"/>
      <w:ind w:left="567" w:hanging="567"/>
    </w:pPr>
    <w:rPr>
      <w:rFonts w:ascii="Century Gothic" w:eastAsia="Times New Roman" w:hAnsi="Century Gothic" w:cs="Times New Roman"/>
      <w:bCs/>
      <w:noProof/>
      <w:sz w:val="22"/>
      <w:szCs w:val="22"/>
      <w:lang w:val="en-GB" w:eastAsia="da-DK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61088"/>
    <w:pPr>
      <w:spacing w:after="100"/>
      <w:ind w:left="240"/>
    </w:pPr>
  </w:style>
  <w:style w:type="paragraph" w:styleId="Nagwek">
    <w:name w:val="header"/>
    <w:basedOn w:val="Normalny"/>
    <w:link w:val="Nagwek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C4B"/>
  </w:style>
  <w:style w:type="paragraph" w:styleId="Stopka">
    <w:name w:val="footer"/>
    <w:basedOn w:val="Normalny"/>
    <w:link w:val="Stopka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C4B"/>
  </w:style>
  <w:style w:type="paragraph" w:styleId="Akapitzlist">
    <w:name w:val="List Paragraph"/>
    <w:basedOn w:val="Normalny"/>
    <w:uiPriority w:val="34"/>
    <w:qFormat/>
    <w:rsid w:val="004128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7C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7CF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6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6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66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86C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86CA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A04D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04D4F"/>
    <w:rPr>
      <w:b/>
      <w:bCs/>
    </w:rPr>
  </w:style>
  <w:style w:type="paragraph" w:customStyle="1" w:styleId="paragraph">
    <w:name w:val="paragraph"/>
    <w:basedOn w:val="Normalny"/>
    <w:rsid w:val="001528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152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gis@psn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nm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1165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61</cp:revision>
  <dcterms:created xsi:type="dcterms:W3CDTF">2025-12-16T11:27:00Z</dcterms:created>
  <dcterms:modified xsi:type="dcterms:W3CDTF">2025-12-16T17:12:00Z</dcterms:modified>
</cp:coreProperties>
</file>