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4FC1" w14:textId="77777777" w:rsidR="006E020E" w:rsidRPr="00C41D98" w:rsidRDefault="006E020E" w:rsidP="006E020E">
      <w:pPr>
        <w:spacing w:line="276" w:lineRule="auto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C41D98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INFORMACJA PRASOWA</w:t>
      </w:r>
    </w:p>
    <w:p w14:paraId="755A7940" w14:textId="77777777" w:rsidR="006E020E" w:rsidRPr="00C41D98" w:rsidRDefault="006E020E" w:rsidP="006E020E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30 kwietnia 2026 r.</w:t>
      </w:r>
    </w:p>
    <w:p w14:paraId="2AEA79CC" w14:textId="77777777" w:rsidR="006E020E" w:rsidRPr="00C41D98" w:rsidRDefault="006E020E" w:rsidP="006E020E">
      <w:pPr>
        <w:pStyle w:val="Nagwek1"/>
        <w:spacing w:before="0" w:after="0"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004F5005" w14:textId="77777777" w:rsidR="006E020E" w:rsidRPr="00C41D98" w:rsidRDefault="006E020E" w:rsidP="006E020E">
      <w:pPr>
        <w:pStyle w:val="Nagwek1"/>
        <w:spacing w:before="0" w:after="0" w:line="276" w:lineRule="auto"/>
        <w:jc w:val="center"/>
        <w:rPr>
          <w:rFonts w:ascii="Calibri" w:hAnsi="Calibri" w:cs="Calibri"/>
          <w:color w:val="000000" w:themeColor="text1"/>
          <w:sz w:val="26"/>
          <w:szCs w:val="26"/>
        </w:rPr>
      </w:pPr>
      <w:r w:rsidRPr="00C41D98">
        <w:rPr>
          <w:rFonts w:ascii="Calibri" w:hAnsi="Calibri" w:cs="Calibri"/>
          <w:color w:val="000000" w:themeColor="text1"/>
          <w:sz w:val="26"/>
          <w:szCs w:val="26"/>
        </w:rPr>
        <w:t>Kongres Nowej Mobilności 2026</w:t>
      </w:r>
    </w:p>
    <w:p w14:paraId="225BF074" w14:textId="77777777" w:rsidR="004217E9" w:rsidRDefault="006E020E" w:rsidP="006E020E">
      <w:pPr>
        <w:pStyle w:val="Nagwek1"/>
        <w:spacing w:before="0" w:after="0" w:line="276" w:lineRule="auto"/>
        <w:jc w:val="center"/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</w:pPr>
      <w:r w:rsidRPr="00C41D98"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  <w:t xml:space="preserve">Ostatni moment na zakup tańszych biletów na </w:t>
      </w:r>
    </w:p>
    <w:p w14:paraId="7DBD792C" w14:textId="72FB00D5" w:rsidR="006E020E" w:rsidRPr="00C41D98" w:rsidRDefault="006E020E" w:rsidP="006E020E">
      <w:pPr>
        <w:pStyle w:val="Nagwek1"/>
        <w:spacing w:before="0" w:after="0" w:line="276" w:lineRule="auto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C41D98">
        <w:rPr>
          <w:rFonts w:ascii="Calibri" w:eastAsia="Arial" w:hAnsi="Calibri" w:cs="Calibri"/>
          <w:b/>
          <w:bCs/>
          <w:color w:val="000000" w:themeColor="text1"/>
          <w:sz w:val="28"/>
          <w:szCs w:val="28"/>
        </w:rPr>
        <w:t>Kongres Nowej Mobilności 2026</w:t>
      </w:r>
    </w:p>
    <w:p w14:paraId="68DE9760" w14:textId="77777777" w:rsidR="006E020E" w:rsidRPr="00C41D98" w:rsidRDefault="006E020E" w:rsidP="006E020E">
      <w:pPr>
        <w:spacing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92B1FFD" w14:textId="523BACC5" w:rsidR="006E020E" w:rsidRDefault="006E020E" w:rsidP="006E020E">
      <w:pPr>
        <w:spacing w:line="276" w:lineRule="auto"/>
        <w:jc w:val="both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  <w:r w:rsidRPr="00C41D98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W dniach 23–25 września br. w Międzynarodowym Centrum Kongresowym w Katowicach odbędzie się siódma edycja Kongresu Nowej Mobilności (KNM) – największego w regionie CEE wydarzenia łączącego zrównoważony rozwój i nową mobilność. Tylko do </w:t>
      </w:r>
      <w:r w:rsidR="00F56F10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4 maja</w:t>
      </w:r>
      <w:r w:rsidRPr="00C41D98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bilety można zakupić w promocyjnej cenie w ramach puli </w:t>
      </w:r>
      <w:proofErr w:type="spellStart"/>
      <w:r w:rsidRPr="00C41D98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Early</w:t>
      </w:r>
      <w:proofErr w:type="spellEnd"/>
      <w:r w:rsidRPr="00C41D98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Bird. </w:t>
      </w:r>
    </w:p>
    <w:p w14:paraId="26CA50B5" w14:textId="77777777" w:rsidR="00A066F1" w:rsidRPr="00C41D98" w:rsidRDefault="00A066F1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6771A3A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Kongres Nowej Mobilności to jedno z najważniejszych europejskich forów poświęconych przyszłości transportu, energetyki, miast i przemysłu w kontekście zrównoważonego rozwoju. To przestrzeń, w której wysocy rangą politycy, decydenci unijni i krajowi, przedstawiciele administracji centralnej i samorządowej, dyplomaci, liderzy biznesu, naukowcy oraz interesariusze rynku z całej Europy spotykają się, by wspólnie kształtować kierunki transformacji. </w:t>
      </w:r>
      <w:r w:rsidRPr="00C41D98">
        <w:rPr>
          <w:rFonts w:ascii="Calibri" w:hAnsi="Calibri" w:cs="Calibri"/>
          <w:color w:val="000000" w:themeColor="text1"/>
          <w:sz w:val="22"/>
          <w:szCs w:val="22"/>
        </w:rPr>
        <w:t>O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rganizatorzy </w:t>
      </w:r>
      <w:r w:rsidRPr="00C41D98">
        <w:rPr>
          <w:rFonts w:ascii="Calibri" w:hAnsi="Calibri" w:cs="Calibri"/>
          <w:color w:val="000000" w:themeColor="text1"/>
          <w:sz w:val="22"/>
          <w:szCs w:val="22"/>
        </w:rPr>
        <w:t xml:space="preserve">wydarzenia 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planują zgromadzić 10 tysięcy uczestników, ponad 500 prelegentów oraz 300 partnerów i wystawców – ale również z uwagi na </w:t>
      </w:r>
      <w:r w:rsidRPr="00C41D98">
        <w:rPr>
          <w:rFonts w:ascii="Calibri" w:hAnsi="Calibri" w:cs="Calibri"/>
          <w:color w:val="000000" w:themeColor="text1"/>
          <w:sz w:val="22"/>
          <w:szCs w:val="22"/>
        </w:rPr>
        <w:t>zakres tematyczny, który w tym roku będzie jeszcze bar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.</w:t>
      </w:r>
    </w:p>
    <w:p w14:paraId="023623CD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72082532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41D98">
        <w:rPr>
          <w:rFonts w:ascii="Calibri" w:eastAsia="Arial" w:hAnsi="Calibri" w:cs="Calibri"/>
          <w:i/>
          <w:iCs/>
          <w:color w:val="000000" w:themeColor="text1"/>
          <w:sz w:val="22"/>
          <w:szCs w:val="22"/>
        </w:rPr>
        <w:t xml:space="preserve">– Kongres Nowej Mobilności jest nie tylko przestrzenią inspirujących debat, lecz przede wszystkim forum realnego dialogu między administracją, biznesem, światem nauki i społeczeństwem. Skala tego wydarzenia – od premier technologicznych i raportów branżowych, przez spotkania z decydentami najwyższego szczebla, po dedykowane sesje </w:t>
      </w:r>
      <w:proofErr w:type="spellStart"/>
      <w:r w:rsidRPr="00C41D98">
        <w:rPr>
          <w:rFonts w:ascii="Calibri" w:eastAsia="Arial" w:hAnsi="Calibri" w:cs="Calibri"/>
          <w:i/>
          <w:iCs/>
          <w:color w:val="000000" w:themeColor="text1"/>
          <w:sz w:val="22"/>
          <w:szCs w:val="22"/>
        </w:rPr>
        <w:t>networkingowe</w:t>
      </w:r>
      <w:proofErr w:type="spellEnd"/>
      <w:r w:rsidRPr="00C41D98">
        <w:rPr>
          <w:rFonts w:ascii="Calibri" w:eastAsia="Arial" w:hAnsi="Calibri" w:cs="Calibri"/>
          <w:i/>
          <w:iCs/>
          <w:color w:val="000000" w:themeColor="text1"/>
          <w:sz w:val="22"/>
          <w:szCs w:val="22"/>
        </w:rPr>
        <w:t xml:space="preserve"> – sprawia, że każdy uczestnik może znaleźć konkretną wartość dla swojej organizacji. </w:t>
      </w:r>
      <w:proofErr w:type="spellStart"/>
      <w:r w:rsidRPr="00C41D98">
        <w:rPr>
          <w:rFonts w:ascii="Calibri" w:eastAsia="Arial" w:hAnsi="Calibri" w:cs="Calibri"/>
          <w:i/>
          <w:iCs/>
          <w:color w:val="000000" w:themeColor="text1"/>
          <w:sz w:val="22"/>
          <w:szCs w:val="22"/>
        </w:rPr>
        <w:t>Early</w:t>
      </w:r>
      <w:proofErr w:type="spellEnd"/>
      <w:r w:rsidRPr="00C41D98">
        <w:rPr>
          <w:rFonts w:ascii="Calibri" w:eastAsia="Arial" w:hAnsi="Calibri" w:cs="Calibri"/>
          <w:i/>
          <w:iCs/>
          <w:color w:val="000000" w:themeColor="text1"/>
          <w:sz w:val="22"/>
          <w:szCs w:val="22"/>
        </w:rPr>
        <w:t xml:space="preserve"> Bird to najlepsza okazja, by zabezpieczyć sobie miejsce na wydarzeniu, które kształtuje przyszłość mobilności w całym regionie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– podkreśla </w:t>
      </w:r>
      <w:r w:rsidRPr="00C41D98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Aleksander Rajch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, Członek Zarządu PSNM.</w:t>
      </w:r>
    </w:p>
    <w:p w14:paraId="3D87D212" w14:textId="77777777" w:rsidR="006E020E" w:rsidRPr="00C41D98" w:rsidRDefault="006E020E" w:rsidP="006E020E">
      <w:pPr>
        <w:pStyle w:val="Nagwek2"/>
        <w:spacing w:before="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E92E451" w14:textId="77777777" w:rsidR="006E020E" w:rsidRPr="00C41D98" w:rsidRDefault="006E020E" w:rsidP="006E020E">
      <w:pPr>
        <w:pStyle w:val="Nagwek2"/>
        <w:spacing w:before="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41D98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Wydarzenie, które wykracza poza transport</w:t>
      </w:r>
    </w:p>
    <w:p w14:paraId="044DC0DC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Nowa mobilność to znacznie więcej niż samochody elektryczne. KNM 2026 obejmie aż osiem ścieżek tematycznych: New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Mobility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&amp; Transport, New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Cities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&amp; Urban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Innovation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, New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Economy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&amp;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Investments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, New Energy &amp;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Infrastructure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, New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Climate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Policy &amp;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Health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, New Security &amp;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Resilience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, New Architecture &amp; Construction oraz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Deep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Tech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Transformation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Forum. W ramach </w:t>
      </w:r>
      <w:r w:rsidRPr="00C41D98">
        <w:rPr>
          <w:rFonts w:ascii="Calibri" w:hAnsi="Calibri" w:cs="Calibri"/>
          <w:color w:val="000000" w:themeColor="text1"/>
          <w:sz w:val="22"/>
          <w:szCs w:val="22"/>
        </w:rPr>
        <w:t xml:space="preserve">planowanych ponad 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250 punktów programu na 10 równoległych scenach poruszone zostaną zagadnienia od zeroemisyjnej logistyki i transportu ciężkiego, przez inteligentne miasta i odnawialną energetykę, aż po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cyberbezpieczeństwo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, architekturę i obronność.</w:t>
      </w:r>
    </w:p>
    <w:p w14:paraId="35EC6BB3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9EC7935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Organizatorzy zapowiadają co najmniej </w:t>
      </w:r>
      <w:r w:rsidRPr="00C41D98"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0 premier rynkowych oraz 25 wydarzeń towarzyszących – od warsztatów i briefingów, przez zamknięte okrągłe stoły z udziałem decydentów, po sesje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matchmakingowe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B2B i B2G. Strefa EXPO zajmie 12 000 m² powierzchni, prezentując innowacje nie 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lastRenderedPageBreak/>
        <w:t>tylko z obszaru transportu, ale także zrównoważonego budownictwa, lotnictwa, dronów, sztucznej inteligencji i cyfryzacji.</w:t>
      </w:r>
    </w:p>
    <w:p w14:paraId="0FF2D587" w14:textId="77777777" w:rsidR="006E020E" w:rsidRPr="00C41D98" w:rsidRDefault="006E020E" w:rsidP="006E020E">
      <w:pPr>
        <w:pStyle w:val="Nagwek2"/>
        <w:spacing w:before="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1F64567" w14:textId="77777777" w:rsidR="006E020E" w:rsidRPr="00C41D98" w:rsidRDefault="006E020E" w:rsidP="006E020E">
      <w:pPr>
        <w:pStyle w:val="Nagwek2"/>
        <w:spacing w:before="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41D98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Wielka Gala 10-lecia w NOSPR</w:t>
      </w:r>
    </w:p>
    <w:p w14:paraId="0FD16473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Pierwszego dnia Kongresu, 23 września, w siedzibie Narodowej Orkiestry Symfonicznej Polskiego Radia w Katowicach odbędzie się</w:t>
      </w:r>
      <w:r w:rsidRPr="00C41D98">
        <w:rPr>
          <w:rFonts w:ascii="Calibri" w:hAnsi="Calibri" w:cs="Calibri"/>
          <w:color w:val="000000" w:themeColor="text1"/>
          <w:sz w:val="22"/>
          <w:szCs w:val="22"/>
        </w:rPr>
        <w:t xml:space="preserve"> również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Wielka Gala Nowej Mobilności 2026 – wydarzenie dekady sektora </w:t>
      </w:r>
      <w:r w:rsidRPr="00C41D98">
        <w:rPr>
          <w:rFonts w:ascii="Calibri" w:hAnsi="Calibri" w:cs="Calibri"/>
          <w:color w:val="000000" w:themeColor="text1"/>
          <w:sz w:val="22"/>
          <w:szCs w:val="22"/>
        </w:rPr>
        <w:t>nowej mobilności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w Polsce i Europie. Gala, połączona</w:t>
      </w:r>
      <w:r w:rsidRPr="00C41D9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z obchodami jubileuszu 10-lecia PSNM, odbędzie się w jednej z najlepszych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sal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koncertowych Europy, oferującej blisko 1800 miejsc i przestrzeń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networkingowo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-ekspozycyjną na najwyższym poziomie.</w:t>
      </w:r>
    </w:p>
    <w:p w14:paraId="6F075622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78045B3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41D98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Pr="00C41D98">
        <w:rPr>
          <w:rFonts w:ascii="Calibri" w:hAnsi="Calibri" w:cs="Calibri"/>
          <w:i/>
          <w:iCs/>
          <w:color w:val="000000" w:themeColor="text1"/>
          <w:sz w:val="22"/>
          <w:szCs w:val="22"/>
        </w:rPr>
        <w:t>Dziesięć lat temu zaczynaliśmy jako niewielka organizacja z odważną wizją zeroemisyjnego transportu w Polsce. Dziś PSNM zrzesza blisko 300 podmiotów, jest największą tego typu organizacją w Europie i współtworzy politykę mobilności na szczeblu krajowym i unijnym. Kongres Nowej Mobilności, który wyrósł z kilkuset uczestników do wydarzenia gromadzącego tysiące liderów z ponad 40 państw, jest najlepszym dowodem na to, jak daleko zaszliśmy – i jak wiele jest jeszcze przed nami. Gala w NOSPR będzie momentem, w którym wspólnie z naszymi partnerami, członkami i całą branżą uczcimy tę drogę, a jednocześnie wyznaczymy kierunki na kolejną dekadę transformacji – od elektryfikacji i autonomizacji transportu, przez zrównoważone miasta, aż po suwerenność technologiczną i bezpieczeństwo energetyczne Europy</w:t>
      </w:r>
      <w:r w:rsidRPr="00C41D98">
        <w:rPr>
          <w:rFonts w:ascii="Calibri" w:hAnsi="Calibri" w:cs="Calibri"/>
          <w:color w:val="000000" w:themeColor="text1"/>
          <w:sz w:val="22"/>
          <w:szCs w:val="22"/>
        </w:rPr>
        <w:t xml:space="preserve"> – mówi </w:t>
      </w:r>
      <w:r w:rsidRPr="004217E9">
        <w:rPr>
          <w:rFonts w:ascii="Calibri" w:hAnsi="Calibri" w:cs="Calibri"/>
          <w:b/>
          <w:bCs/>
          <w:color w:val="000000" w:themeColor="text1"/>
          <w:sz w:val="22"/>
          <w:szCs w:val="22"/>
        </w:rPr>
        <w:t>Maciej Mazur</w:t>
      </w:r>
      <w:r w:rsidRPr="00C41D98">
        <w:rPr>
          <w:rFonts w:ascii="Calibri" w:hAnsi="Calibri" w:cs="Calibri"/>
          <w:color w:val="000000" w:themeColor="text1"/>
          <w:sz w:val="22"/>
          <w:szCs w:val="22"/>
        </w:rPr>
        <w:t>, Dyrektor Zarządzający PSNM, Prezydent E-</w:t>
      </w:r>
      <w:proofErr w:type="spellStart"/>
      <w:r w:rsidRPr="00C41D98">
        <w:rPr>
          <w:rFonts w:ascii="Calibri" w:hAnsi="Calibri" w:cs="Calibri"/>
          <w:color w:val="000000" w:themeColor="text1"/>
          <w:sz w:val="22"/>
          <w:szCs w:val="22"/>
        </w:rPr>
        <w:t>Mobility</w:t>
      </w:r>
      <w:proofErr w:type="spellEnd"/>
      <w:r w:rsidRPr="00C41D98">
        <w:rPr>
          <w:rFonts w:ascii="Calibri" w:hAnsi="Calibri" w:cs="Calibri"/>
          <w:color w:val="000000" w:themeColor="text1"/>
          <w:sz w:val="22"/>
          <w:szCs w:val="22"/>
        </w:rPr>
        <w:t xml:space="preserve"> Europe.</w:t>
      </w:r>
    </w:p>
    <w:p w14:paraId="5EFE945B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78E46F7" w14:textId="77777777" w:rsidR="006E020E" w:rsidRPr="00C41D98" w:rsidRDefault="006E020E" w:rsidP="006E020E">
      <w:pPr>
        <w:pStyle w:val="Nagwek2"/>
        <w:spacing w:before="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41D98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Bilety </w:t>
      </w:r>
      <w:proofErr w:type="spellStart"/>
      <w:r w:rsidRPr="00C41D98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Early</w:t>
      </w:r>
      <w:proofErr w:type="spellEnd"/>
      <w:r w:rsidRPr="00C41D98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Bird – ostatnie godziny promocji</w:t>
      </w:r>
    </w:p>
    <w:p w14:paraId="58455EC0" w14:textId="4C1DDCDD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Do </w:t>
      </w:r>
      <w:r w:rsidR="00F56F10">
        <w:rPr>
          <w:rFonts w:ascii="Calibri" w:hAnsi="Calibri" w:cs="Calibri"/>
          <w:color w:val="000000" w:themeColor="text1"/>
          <w:sz w:val="22"/>
          <w:szCs w:val="22"/>
        </w:rPr>
        <w:t>4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</w:t>
      </w:r>
      <w:r w:rsidR="00F56F10">
        <w:rPr>
          <w:rFonts w:ascii="Calibri" w:eastAsia="Arial" w:hAnsi="Calibri" w:cs="Calibri"/>
          <w:color w:val="000000" w:themeColor="text1"/>
          <w:sz w:val="22"/>
          <w:szCs w:val="22"/>
        </w:rPr>
        <w:t>maja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2026 r. można nabyć bilety w promocyjnych cenach. Koszt wejściówki Premium Pass w ramach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Early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Bird wynosi 1999 zł netto i obejmuje pełny dostęp do aktywności merytorycznych, strefy EXPO, Strefy Premium z ekskluzywną ścieżką programową i przestrzenią do spotkań </w:t>
      </w:r>
      <w:r w:rsidRPr="00C41D98">
        <w:rPr>
          <w:rFonts w:ascii="Calibri" w:hAnsi="Calibri" w:cs="Calibri"/>
          <w:color w:val="000000" w:themeColor="text1"/>
          <w:sz w:val="22"/>
          <w:szCs w:val="22"/>
        </w:rPr>
        <w:t>„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1</w:t>
      </w:r>
      <w:r w:rsidRPr="00C41D98">
        <w:rPr>
          <w:rFonts w:ascii="Calibri" w:hAnsi="Calibri" w:cs="Calibri"/>
          <w:color w:val="000000" w:themeColor="text1"/>
          <w:sz w:val="22"/>
          <w:szCs w:val="22"/>
        </w:rPr>
        <w:t>-to-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1</w:t>
      </w:r>
      <w:r w:rsidRPr="00C41D98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, a także udział w wieczornym koktajlu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Mobility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Connects</w:t>
      </w:r>
      <w:proofErr w:type="spellEnd"/>
      <w:r w:rsidRPr="00C41D98">
        <w:rPr>
          <w:rFonts w:ascii="Calibri" w:hAnsi="Calibri" w:cs="Calibri"/>
          <w:color w:val="000000" w:themeColor="text1"/>
          <w:sz w:val="22"/>
          <w:szCs w:val="22"/>
        </w:rPr>
        <w:t xml:space="preserve"> (24 września)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. </w:t>
      </w:r>
    </w:p>
    <w:p w14:paraId="7850D09A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F5F9084" w14:textId="0C76F35A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Z kolei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Executive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Pass + Gala, w cenie 3999 zł netto, daje dodatkowo dostęp do Strefy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Speakers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&amp;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Executive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, Strefy Cateringu oraz udział w Gali 10-lecia PSNM w NOSPR. Od </w:t>
      </w:r>
      <w:r w:rsidR="004217E9">
        <w:rPr>
          <w:rFonts w:ascii="Calibri" w:eastAsia="Arial" w:hAnsi="Calibri" w:cs="Calibri"/>
          <w:color w:val="000000" w:themeColor="text1"/>
          <w:sz w:val="22"/>
          <w:szCs w:val="22"/>
        </w:rPr>
        <w:t xml:space="preserve">5 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maja </w:t>
      </w:r>
      <w:r w:rsidR="004217E9">
        <w:rPr>
          <w:rFonts w:ascii="Calibri" w:eastAsia="Arial" w:hAnsi="Calibri" w:cs="Calibri"/>
          <w:color w:val="000000" w:themeColor="text1"/>
          <w:sz w:val="22"/>
          <w:szCs w:val="22"/>
        </w:rPr>
        <w:t xml:space="preserve">br. 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cena biletów wzrośnie – Premium Pass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Regular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będzie kosztować 2499 zł netto.</w:t>
      </w:r>
    </w:p>
    <w:p w14:paraId="2037F970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E68FD3B" w14:textId="77777777" w:rsidR="006E020E" w:rsidRPr="00C41D98" w:rsidRDefault="006E020E" w:rsidP="006E020E">
      <w:pPr>
        <w:pStyle w:val="Nagwek2"/>
        <w:spacing w:before="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41D98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Rekordowa edycja 2025 jako fundament tegorocznych ambicji</w:t>
      </w:r>
    </w:p>
    <w:p w14:paraId="3CC7751C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Szósta edycja KNM, która odbyła się we wrześniu 2025 r. w MCK w Katowicach, zapisała się jako rekordowa pod względem zarówno ilościowym, jak i merytorycznym. Wydarzenie zgromadziło 7500 uczestników, 574 prelegentów z niemal 40 państw, 250 partnerów i wystawców oraz 180 akredytowanych dziennikarzy. W 12 000 m² przestrzeni EXPO zaprezentowano 25 premier rynkowych, a na 10 scenach odbyło się 250 punktów programu obejmujących 127 godzin aktywności merytorycznych. Wśród gości specjalnych znaleźli się m.in. Wiceprezes Rady Ministrów i Minister Cyfryzacji Krzysztof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Gawkowski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, Minister Nauki Marcin Kulasek, Komisarz Departamentu Transportu Nowego Jorku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Ydanis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Rodriguez oraz profesor MIT Carlo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Ratti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. Podczas KNM 2025 podpisano przełomowe Porozumienie Sektorowe między URE, GDDKiA,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PTPiREE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i PSNM, a także zainicjowano utworzenie Centrum Nowej Mobilności na Śląsku. </w:t>
      </w:r>
    </w:p>
    <w:p w14:paraId="4AE4813F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B3F3211" w14:textId="2EC3BF45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Bilety </w:t>
      </w:r>
      <w:proofErr w:type="spellStart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>Early</w:t>
      </w:r>
      <w:proofErr w:type="spellEnd"/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Bird na KNM 2026 dostępne są do </w:t>
      </w:r>
      <w:r w:rsidRPr="00C41D98">
        <w:rPr>
          <w:rFonts w:ascii="Calibri" w:hAnsi="Calibri" w:cs="Calibri"/>
          <w:color w:val="000000" w:themeColor="text1"/>
          <w:sz w:val="22"/>
          <w:szCs w:val="22"/>
        </w:rPr>
        <w:t xml:space="preserve">dnia </w:t>
      </w:r>
      <w:r w:rsidR="00F56F10">
        <w:rPr>
          <w:rFonts w:ascii="Calibri" w:eastAsia="Arial" w:hAnsi="Calibri" w:cs="Calibri"/>
          <w:color w:val="000000" w:themeColor="text1"/>
          <w:sz w:val="22"/>
          <w:szCs w:val="22"/>
        </w:rPr>
        <w:t>4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</w:t>
      </w:r>
      <w:r w:rsidR="00F56F10">
        <w:rPr>
          <w:rFonts w:ascii="Calibri" w:eastAsia="Arial" w:hAnsi="Calibri" w:cs="Calibri"/>
          <w:color w:val="000000" w:themeColor="text1"/>
          <w:sz w:val="22"/>
          <w:szCs w:val="22"/>
        </w:rPr>
        <w:t>maja</w:t>
      </w:r>
      <w:r w:rsidRPr="00C41D98">
        <w:rPr>
          <w:rFonts w:ascii="Calibri" w:eastAsia="Arial" w:hAnsi="Calibri" w:cs="Calibri"/>
          <w:color w:val="000000" w:themeColor="text1"/>
          <w:sz w:val="22"/>
          <w:szCs w:val="22"/>
        </w:rPr>
        <w:t xml:space="preserve"> 2026 r. na stronie: </w:t>
      </w:r>
      <w:r w:rsidRPr="00C41D98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kongresnowejmobilnosci.pl/bilety</w:t>
      </w:r>
    </w:p>
    <w:p w14:paraId="02708A66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27A24D3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41D9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Więcej informacji: </w:t>
      </w:r>
      <w:hyperlink r:id="rId6" w:history="1">
        <w:r w:rsidRPr="00C41D98">
          <w:rPr>
            <w:rStyle w:val="Hipercze"/>
            <w:rFonts w:ascii="Calibri" w:hAnsi="Calibri" w:cs="Calibri"/>
            <w:b/>
            <w:bCs/>
            <w:sz w:val="22"/>
            <w:szCs w:val="22"/>
          </w:rPr>
          <w:t>www.kongresnowejmobilnosci.pl</w:t>
        </w:r>
      </w:hyperlink>
    </w:p>
    <w:p w14:paraId="12E38E38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3ED3C379" w14:textId="7777777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41D98">
        <w:rPr>
          <w:rFonts w:ascii="Calibri" w:hAnsi="Calibri" w:cs="Calibri"/>
          <w:color w:val="000000" w:themeColor="text1"/>
          <w:sz w:val="22"/>
          <w:szCs w:val="22"/>
        </w:rPr>
        <w:t xml:space="preserve">-- </w:t>
      </w:r>
    </w:p>
    <w:p w14:paraId="5DC2E467" w14:textId="77777777" w:rsidR="006E020E" w:rsidRPr="00C41D98" w:rsidRDefault="006E020E" w:rsidP="006E020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C41D98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Kontakt</w:t>
      </w:r>
    </w:p>
    <w:p w14:paraId="18C13816" w14:textId="77777777" w:rsidR="006E020E" w:rsidRPr="00C41D98" w:rsidRDefault="006E020E" w:rsidP="006E020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47915059" w14:textId="77777777" w:rsidR="006E020E" w:rsidRPr="00C41D98" w:rsidRDefault="006E020E" w:rsidP="006E020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41D98">
        <w:rPr>
          <w:rStyle w:val="normaltextrun"/>
          <w:rFonts w:ascii="Calibri" w:eastAsiaTheme="majorEastAsia" w:hAnsi="Calibri" w:cs="Calibri"/>
          <w:sz w:val="22"/>
          <w:szCs w:val="22"/>
        </w:rPr>
        <w:t>Maciej Gis, Dyrektor Biura Komunikacji PSNM</w:t>
      </w:r>
    </w:p>
    <w:p w14:paraId="2CC4548E" w14:textId="77777777" w:rsidR="006E020E" w:rsidRPr="00C41D98" w:rsidRDefault="006E020E" w:rsidP="006E020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</w:pPr>
      <w:r w:rsidRPr="00C41D98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e-mail: </w:t>
      </w:r>
      <w:hyperlink r:id="rId7" w:history="1">
        <w:r w:rsidRPr="00C41D98">
          <w:rPr>
            <w:rStyle w:val="Hipercze"/>
            <w:rFonts w:ascii="Calibri" w:eastAsiaTheme="majorEastAsia" w:hAnsi="Calibri" w:cs="Calibri"/>
            <w:sz w:val="22"/>
            <w:szCs w:val="22"/>
            <w:lang w:val="en-US"/>
          </w:rPr>
          <w:t>maciej.gis@psnm.org</w:t>
        </w:r>
      </w:hyperlink>
      <w:r w:rsidRPr="00C41D98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; tel.: (+48) 606 740 357</w:t>
      </w:r>
    </w:p>
    <w:p w14:paraId="02EC867C" w14:textId="77777777" w:rsidR="006E020E" w:rsidRPr="00C41D98" w:rsidRDefault="006E020E" w:rsidP="006E020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46EFEDAE" w14:textId="2DFBB367" w:rsidR="006E020E" w:rsidRPr="00C41D98" w:rsidRDefault="006E020E" w:rsidP="006E020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C41D98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Jan Wiewiór, </w:t>
      </w:r>
      <w:proofErr w:type="spellStart"/>
      <w:r w:rsidRPr="00C41D98">
        <w:rPr>
          <w:rFonts w:ascii="Calibri" w:hAnsi="Calibri" w:cs="Calibri"/>
          <w:color w:val="000000" w:themeColor="text1"/>
          <w:sz w:val="22"/>
          <w:szCs w:val="22"/>
          <w:lang w:val="en-US"/>
        </w:rPr>
        <w:t>Specjalista</w:t>
      </w:r>
      <w:proofErr w:type="spellEnd"/>
      <w:r w:rsidRPr="00C41D98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ds. PR PSNM</w:t>
      </w:r>
    </w:p>
    <w:p w14:paraId="7F067BDD" w14:textId="44AD30B9" w:rsidR="00C16EA4" w:rsidRPr="00C41D98" w:rsidRDefault="006E020E" w:rsidP="00C41D98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C41D98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e-mail: </w:t>
      </w:r>
      <w:hyperlink r:id="rId8" w:history="1">
        <w:r w:rsidRPr="00C41D98">
          <w:rPr>
            <w:rStyle w:val="Hipercze"/>
            <w:rFonts w:ascii="Calibri" w:hAnsi="Calibri" w:cs="Calibri"/>
            <w:sz w:val="22"/>
            <w:szCs w:val="22"/>
            <w:lang w:val="en-US"/>
          </w:rPr>
          <w:t>jan.wiewior@psnm.org</w:t>
        </w:r>
      </w:hyperlink>
      <w:r w:rsidRPr="00C41D98">
        <w:rPr>
          <w:rFonts w:ascii="Calibri" w:hAnsi="Calibri" w:cs="Calibri"/>
          <w:color w:val="000000" w:themeColor="text1"/>
          <w:sz w:val="22"/>
          <w:szCs w:val="22"/>
          <w:lang w:val="en-US"/>
        </w:rPr>
        <w:t>; tel.: (+48) 608 019 500</w:t>
      </w:r>
    </w:p>
    <w:sectPr w:rsidR="00C16EA4" w:rsidRPr="00C41D98" w:rsidSect="008E257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23" w:right="1417" w:bottom="13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362A" w14:textId="77777777" w:rsidR="008D29B0" w:rsidRDefault="008D29B0" w:rsidP="0006534A">
      <w:r>
        <w:separator/>
      </w:r>
    </w:p>
  </w:endnote>
  <w:endnote w:type="continuationSeparator" w:id="0">
    <w:p w14:paraId="302F7A52" w14:textId="77777777" w:rsidR="008D29B0" w:rsidRDefault="008D29B0" w:rsidP="0006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BA9A" w14:textId="10754026" w:rsidR="00D37EE3" w:rsidRDefault="00DE4042">
    <w:pPr>
      <w:pStyle w:val="Stopka"/>
    </w:pPr>
    <w:r w:rsidRPr="00DE4042">
      <w:rPr>
        <w:noProof/>
      </w:rPr>
      <w:drawing>
        <wp:anchor distT="0" distB="0" distL="114300" distR="114300" simplePos="0" relativeHeight="251697152" behindDoc="0" locked="0" layoutInCell="1" allowOverlap="1" wp14:anchorId="7D2A994A" wp14:editId="6E7816E6">
          <wp:simplePos x="0" y="0"/>
          <wp:positionH relativeFrom="column">
            <wp:posOffset>-5080</wp:posOffset>
          </wp:positionH>
          <wp:positionV relativeFrom="paragraph">
            <wp:posOffset>57353</wp:posOffset>
          </wp:positionV>
          <wp:extent cx="5760720" cy="201295"/>
          <wp:effectExtent l="0" t="0" r="5080" b="1905"/>
          <wp:wrapNone/>
          <wp:docPr id="18254072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40728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4D00" w14:textId="305D5EF2" w:rsidR="00681AEA" w:rsidRDefault="00DE4042">
    <w:pPr>
      <w:pStyle w:val="Stopka"/>
    </w:pPr>
    <w:r w:rsidRPr="00DE4042">
      <w:rPr>
        <w:noProof/>
      </w:rPr>
      <w:drawing>
        <wp:anchor distT="0" distB="0" distL="114300" distR="114300" simplePos="0" relativeHeight="251698176" behindDoc="0" locked="0" layoutInCell="1" allowOverlap="1" wp14:anchorId="091046E7" wp14:editId="153E13C1">
          <wp:simplePos x="0" y="0"/>
          <wp:positionH relativeFrom="column">
            <wp:posOffset>-5080</wp:posOffset>
          </wp:positionH>
          <wp:positionV relativeFrom="paragraph">
            <wp:posOffset>57353</wp:posOffset>
          </wp:positionV>
          <wp:extent cx="5760720" cy="201295"/>
          <wp:effectExtent l="0" t="0" r="5080" b="1905"/>
          <wp:wrapNone/>
          <wp:docPr id="19934405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405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9F1B" w14:textId="77777777" w:rsidR="008D29B0" w:rsidRDefault="008D29B0" w:rsidP="0006534A">
      <w:r>
        <w:separator/>
      </w:r>
    </w:p>
  </w:footnote>
  <w:footnote w:type="continuationSeparator" w:id="0">
    <w:p w14:paraId="4DF8D2FA" w14:textId="77777777" w:rsidR="008D29B0" w:rsidRDefault="008D29B0" w:rsidP="0006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0B4C" w14:textId="198CC71E" w:rsidR="0006534A" w:rsidRDefault="00A26531">
    <w:pPr>
      <w:pStyle w:val="Nagwek"/>
    </w:pPr>
    <w:r>
      <w:rPr>
        <w:noProof/>
      </w:rPr>
      <w:drawing>
        <wp:anchor distT="0" distB="0" distL="114300" distR="114300" simplePos="0" relativeHeight="251695104" behindDoc="0" locked="0" layoutInCell="1" allowOverlap="1" wp14:anchorId="0A0B2D47" wp14:editId="074A36DC">
          <wp:simplePos x="0" y="0"/>
          <wp:positionH relativeFrom="column">
            <wp:posOffset>4525645</wp:posOffset>
          </wp:positionH>
          <wp:positionV relativeFrom="paragraph">
            <wp:posOffset>-51435</wp:posOffset>
          </wp:positionV>
          <wp:extent cx="1233805" cy="845820"/>
          <wp:effectExtent l="0" t="0" r="0" b="5080"/>
          <wp:wrapNone/>
          <wp:docPr id="70031679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316791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805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4080" behindDoc="0" locked="0" layoutInCell="1" allowOverlap="1" wp14:anchorId="6A913E7A" wp14:editId="48BF7AE7">
          <wp:simplePos x="0" y="0"/>
          <wp:positionH relativeFrom="column">
            <wp:posOffset>5080</wp:posOffset>
          </wp:positionH>
          <wp:positionV relativeFrom="paragraph">
            <wp:posOffset>-128742</wp:posOffset>
          </wp:positionV>
          <wp:extent cx="2824681" cy="963221"/>
          <wp:effectExtent l="0" t="0" r="0" b="2540"/>
          <wp:wrapNone/>
          <wp:docPr id="145426917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269173" name="Obraz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4681" cy="963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EDB" w:rsidRPr="003D3EDB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CDFA" w14:textId="51947E17" w:rsidR="00681AEA" w:rsidRDefault="009706D7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1F9E1712" wp14:editId="3F5ACC94">
          <wp:simplePos x="0" y="0"/>
          <wp:positionH relativeFrom="column">
            <wp:posOffset>4877</wp:posOffset>
          </wp:positionH>
          <wp:positionV relativeFrom="paragraph">
            <wp:posOffset>-268890</wp:posOffset>
          </wp:positionV>
          <wp:extent cx="3852154" cy="1313911"/>
          <wp:effectExtent l="0" t="0" r="0" b="0"/>
          <wp:wrapNone/>
          <wp:docPr id="68901470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01470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830" cy="1316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984" behindDoc="0" locked="0" layoutInCell="1" allowOverlap="1" wp14:anchorId="4C055A02" wp14:editId="2D9298DA">
          <wp:simplePos x="0" y="0"/>
          <wp:positionH relativeFrom="column">
            <wp:posOffset>4201160</wp:posOffset>
          </wp:positionH>
          <wp:positionV relativeFrom="paragraph">
            <wp:posOffset>-167208</wp:posOffset>
          </wp:positionV>
          <wp:extent cx="1552575" cy="1064260"/>
          <wp:effectExtent l="0" t="0" r="0" b="2540"/>
          <wp:wrapNone/>
          <wp:docPr id="13439987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998701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A49" w:rsidRPr="00566A49">
      <w:rPr>
        <w:noProof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4A"/>
    <w:rsid w:val="00001E14"/>
    <w:rsid w:val="0006534A"/>
    <w:rsid w:val="0007565B"/>
    <w:rsid w:val="000810C3"/>
    <w:rsid w:val="000A65FD"/>
    <w:rsid w:val="000A6997"/>
    <w:rsid w:val="001036ED"/>
    <w:rsid w:val="00117BAD"/>
    <w:rsid w:val="001220ED"/>
    <w:rsid w:val="00170D8E"/>
    <w:rsid w:val="00173D5E"/>
    <w:rsid w:val="001B7790"/>
    <w:rsid w:val="001C0CCE"/>
    <w:rsid w:val="00263C17"/>
    <w:rsid w:val="00281CF6"/>
    <w:rsid w:val="00297164"/>
    <w:rsid w:val="0033309B"/>
    <w:rsid w:val="003D3EDB"/>
    <w:rsid w:val="003D56A2"/>
    <w:rsid w:val="003E3446"/>
    <w:rsid w:val="00420379"/>
    <w:rsid w:val="004217E9"/>
    <w:rsid w:val="0042763A"/>
    <w:rsid w:val="004633B3"/>
    <w:rsid w:val="00490F9A"/>
    <w:rsid w:val="00494A61"/>
    <w:rsid w:val="004C6B52"/>
    <w:rsid w:val="004C72E1"/>
    <w:rsid w:val="004F6DAD"/>
    <w:rsid w:val="0050325E"/>
    <w:rsid w:val="00554B71"/>
    <w:rsid w:val="00566A49"/>
    <w:rsid w:val="005E744C"/>
    <w:rsid w:val="00605094"/>
    <w:rsid w:val="00617F0E"/>
    <w:rsid w:val="00653BFA"/>
    <w:rsid w:val="00681AEA"/>
    <w:rsid w:val="006E020E"/>
    <w:rsid w:val="00723923"/>
    <w:rsid w:val="0073241C"/>
    <w:rsid w:val="007453F1"/>
    <w:rsid w:val="00796134"/>
    <w:rsid w:val="00802E60"/>
    <w:rsid w:val="0080430B"/>
    <w:rsid w:val="00830FA3"/>
    <w:rsid w:val="00851A46"/>
    <w:rsid w:val="00867857"/>
    <w:rsid w:val="0087194C"/>
    <w:rsid w:val="008B46B6"/>
    <w:rsid w:val="008C6568"/>
    <w:rsid w:val="008D28E0"/>
    <w:rsid w:val="008D29B0"/>
    <w:rsid w:val="008E2574"/>
    <w:rsid w:val="00944DEA"/>
    <w:rsid w:val="0095339E"/>
    <w:rsid w:val="0096553E"/>
    <w:rsid w:val="009706D7"/>
    <w:rsid w:val="009A3D9E"/>
    <w:rsid w:val="009C4941"/>
    <w:rsid w:val="009F6B90"/>
    <w:rsid w:val="00A066F1"/>
    <w:rsid w:val="00A200DA"/>
    <w:rsid w:val="00A26531"/>
    <w:rsid w:val="00A5621D"/>
    <w:rsid w:val="00A80CEC"/>
    <w:rsid w:val="00AA33D4"/>
    <w:rsid w:val="00AA5FEF"/>
    <w:rsid w:val="00AA7354"/>
    <w:rsid w:val="00AB12D8"/>
    <w:rsid w:val="00AD0D70"/>
    <w:rsid w:val="00B04115"/>
    <w:rsid w:val="00B872EA"/>
    <w:rsid w:val="00BB7869"/>
    <w:rsid w:val="00BF3BBA"/>
    <w:rsid w:val="00C06A92"/>
    <w:rsid w:val="00C16EA4"/>
    <w:rsid w:val="00C2046B"/>
    <w:rsid w:val="00C3631A"/>
    <w:rsid w:val="00C41D98"/>
    <w:rsid w:val="00C4275B"/>
    <w:rsid w:val="00C42A59"/>
    <w:rsid w:val="00C42F10"/>
    <w:rsid w:val="00C8608C"/>
    <w:rsid w:val="00CA3A9C"/>
    <w:rsid w:val="00CC7A1C"/>
    <w:rsid w:val="00CE010E"/>
    <w:rsid w:val="00CF2B8D"/>
    <w:rsid w:val="00CF3EAF"/>
    <w:rsid w:val="00CF4719"/>
    <w:rsid w:val="00D37EE3"/>
    <w:rsid w:val="00D45E9D"/>
    <w:rsid w:val="00D63127"/>
    <w:rsid w:val="00D729A8"/>
    <w:rsid w:val="00D85E39"/>
    <w:rsid w:val="00DA4357"/>
    <w:rsid w:val="00DD4573"/>
    <w:rsid w:val="00DE4042"/>
    <w:rsid w:val="00DF005A"/>
    <w:rsid w:val="00E05B64"/>
    <w:rsid w:val="00E233EE"/>
    <w:rsid w:val="00E74559"/>
    <w:rsid w:val="00E950E8"/>
    <w:rsid w:val="00EC29BB"/>
    <w:rsid w:val="00F00C65"/>
    <w:rsid w:val="00F013C2"/>
    <w:rsid w:val="00F37D8D"/>
    <w:rsid w:val="00F56F10"/>
    <w:rsid w:val="00F907A2"/>
    <w:rsid w:val="00FB19AE"/>
    <w:rsid w:val="00F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F0AB5"/>
  <w15:chartTrackingRefBased/>
  <w15:docId w15:val="{65D50E37-531F-5E45-BAE0-1A9BD4D0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3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3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3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3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3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3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3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3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53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3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3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34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53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34A"/>
  </w:style>
  <w:style w:type="paragraph" w:styleId="Stopka">
    <w:name w:val="footer"/>
    <w:basedOn w:val="Normalny"/>
    <w:link w:val="StopkaZnak"/>
    <w:uiPriority w:val="99"/>
    <w:unhideWhenUsed/>
    <w:rsid w:val="000653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34A"/>
  </w:style>
  <w:style w:type="character" w:styleId="Hipercze">
    <w:name w:val="Hyperlink"/>
    <w:uiPriority w:val="99"/>
    <w:unhideWhenUsed/>
    <w:rsid w:val="006E020E"/>
    <w:rPr>
      <w:color w:val="0563C1"/>
      <w:u w:val="single"/>
    </w:rPr>
  </w:style>
  <w:style w:type="paragraph" w:customStyle="1" w:styleId="paragraph">
    <w:name w:val="paragraph"/>
    <w:basedOn w:val="Normalny"/>
    <w:rsid w:val="006E02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6E020E"/>
  </w:style>
  <w:style w:type="character" w:styleId="Nierozpoznanawzmianka">
    <w:name w:val="Unresolved Mention"/>
    <w:basedOn w:val="Domylnaczcionkaakapitu"/>
    <w:uiPriority w:val="99"/>
    <w:semiHidden/>
    <w:unhideWhenUsed/>
    <w:rsid w:val="006E0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wiewior@psnm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ciej.gis@psnm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ngresnowejmobilnosci.pl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6</cp:revision>
  <cp:lastPrinted>2024-12-05T12:15:00Z</cp:lastPrinted>
  <dcterms:created xsi:type="dcterms:W3CDTF">2026-04-30T06:28:00Z</dcterms:created>
  <dcterms:modified xsi:type="dcterms:W3CDTF">2026-04-30T09:57:00Z</dcterms:modified>
</cp:coreProperties>
</file>