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b w:val="1"/>
          <w:bCs w:val="1"/>
          <w:i w:val="1"/>
          <w:iCs w:val="1"/>
          <w:color w:val="222222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color w:val="222222"/>
          <w:u w:val="single"/>
          <w:rtl w:val="0"/>
        </w:rPr>
        <w:t xml:space="preserve">TZ: Zlaťáky.cz chystají spuštění prodeje exkluzivních zlatých a stříbrných mincí k 100. výročí narození královny Alžběty II.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i w:val="1"/>
          <w:iCs w:val="1"/>
          <w:color w:val="222222"/>
          <w:sz w:val="18"/>
          <w:szCs w:val="18"/>
        </w:rPr>
      </w:pP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 Praha, 21. dubna 2026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b w:val="1"/>
          <w:bCs w:val="1"/>
          <w:i w:val="1"/>
          <w:iCs w:val="1"/>
          <w:color w:val="222222"/>
        </w:rPr>
      </w:pPr>
      <w:r w:rsidDel="00000000" w:rsidR="00000000" w:rsidRPr="00000000">
        <w:rPr>
          <w:b w:val="1"/>
          <w:bCs w:val="1"/>
          <w:i w:val="1"/>
          <w:iCs w:val="1"/>
          <w:color w:val="222222"/>
          <w:rtl w:val="0"/>
        </w:rPr>
        <w:t xml:space="preserve">Sto let od narození královny Alžběty II. si letos připomíná i společnost Zlaťáky.cz. U příležitosti tohoto výrazného historického výročí chystá spuštění prodeje exkluzivních zlatých a stříbrných mincí, které vzdávají hold jedné z nejvýznamnějších </w:t>
      </w:r>
      <w:r w:rsidDel="00000000" w:rsidR="00000000" w:rsidRPr="00000000">
        <w:rPr>
          <w:b w:val="1"/>
          <w:bCs w:val="1"/>
          <w:i w:val="1"/>
          <w:iCs w:val="1"/>
          <w:color w:val="222222"/>
          <w:rtl w:val="0"/>
        </w:rPr>
        <w:t xml:space="preserve">panovnic</w:t>
      </w:r>
      <w:r w:rsidDel="00000000" w:rsidR="00000000" w:rsidRPr="00000000">
        <w:rPr>
          <w:b w:val="1"/>
          <w:bCs w:val="1"/>
          <w:i w:val="1"/>
          <w:iCs w:val="1"/>
          <w:color w:val="222222"/>
          <w:rtl w:val="0"/>
        </w:rPr>
        <w:t xml:space="preserve"> moderní historie i jejímu ikonickému šperku – náhrdelníku Baring Ruby.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i w:val="1"/>
          <w:iCs w:val="1"/>
          <w:color w:val="222222"/>
          <w:rtl w:val="0"/>
        </w:rPr>
        <w:t xml:space="preserve">„V numismatickém světě zaujímá královna Alžběta II. výjimečné místo. Její portrét se po téměř 70 let objevoval na mincích a stal se symbolem stability, kontinuity a historické paměti moderního mincovnictví. Každá emise, která její odkaz připomíná, proto oslovuje nejen obdivovatele britské monarchie, ale i sběratele, kteří vnímají mince jako nositele příběhu, tradice a kulturní hodnoty,“</w:t>
      </w:r>
      <w:r w:rsidDel="00000000" w:rsidR="00000000" w:rsidRPr="00000000">
        <w:rPr>
          <w:i w:val="1"/>
          <w:iCs w:val="1"/>
          <w:color w:val="222222"/>
          <w:rtl w:val="0"/>
        </w:rPr>
        <w:t xml:space="preserve"> </w:t>
      </w:r>
      <w:r w:rsidDel="00000000" w:rsidR="00000000" w:rsidRPr="00000000">
        <w:rPr>
          <w:color w:val="222222"/>
          <w:rtl w:val="0"/>
        </w:rPr>
        <w:t xml:space="preserve">říká Jakub Petruška, analytik společnosti Zlaťáky.cz.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Jedním z hlavních titulů připravované nabídky je zlatá mince </w:t>
      </w:r>
      <w:r w:rsidDel="00000000" w:rsidR="00000000" w:rsidRPr="00000000">
        <w:rPr>
          <w:b w:val="1"/>
          <w:bCs w:val="1"/>
          <w:rtl w:val="0"/>
        </w:rPr>
        <w:t xml:space="preserve">100. výročí narození královny Alžběty II. – </w:t>
      </w: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Náhrdelník Baring Ruby</w:t>
        </w:r>
      </w:hyperlink>
      <w:r w:rsidDel="00000000" w:rsidR="00000000" w:rsidRPr="00000000">
        <w:rPr>
          <w:rtl w:val="0"/>
        </w:rPr>
        <w:t xml:space="preserve">, vyražená z 99,99% zlata v nejvyšší sběratelské kvalitě proof. Její hmotnost činí 60,08 gramu. Zaujme nejen vysokým obsahem drahého kovu, ale i mimořádně precizním zpracováním a bohatým osazením drahými kameny. Rub mince zachycuje stylizovanou podobu slavného náhrdelníku Baring Ruby, přičemž jeho kompozici doplňuje 120 briliantů a 22 rubínů.</w:t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487700" cy="2543337"/>
            <wp:effectExtent b="0" l="0" r="0" t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7700" cy="25433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Náhrdelník Baring Ruby patřil k významným šperkům, které královna Alžběta II. vlastnila a opakovaně nosila při státních návštěvách, slavnostních recepcích i dalších výjimečných příležitostech. Právě tento motiv se stal ústředním tématem nové emise, která propojuje numismatickou hodnotu s odkazem britské královské historie. Lícní strana mince nese poslední podobiznu Alžběty II. od kanadské portrétistky Susanny Blunt. Autorkou reverzní strany je Anna Bucciarelli.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Novinka je určena především náročným sběratelům a milovníkům výjimečných mincovních emisí. Její atraktivitu podtrhuje také mimořádně nízký náklad – po celém světě vznikne pouze 200 kusů. Mince je dodávána v luxusní dřevěné krabičce spolu s číslovaným certifikátem pravosti a samostatným potvrzením o pravosti použitých drahokamů.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Vedle zlaté varianty Zlaťáky.cz připravují také spuštění prodeje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stříbrných mincí</w:t>
        </w:r>
      </w:hyperlink>
      <w:r w:rsidDel="00000000" w:rsidR="00000000" w:rsidRPr="00000000">
        <w:rPr>
          <w:rtl w:val="0"/>
        </w:rPr>
        <w:t xml:space="preserve"> ze stejné tematické řady, takže si sběratelé budou moci vybrat mezi exkluzivní zlatou emisí a dostupnější stříbrnou variantou. 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559138" cy="2579273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9138" cy="25792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Zařazením těchto mincí do nabídky Zlaťáky.cz dále posilují své portfolio výjimečných zahraničních emisí, které spojují investiční hodnotu drahého kovu, limitovaný náklad a silný historický či kulturní příběh. Mince k 100. výročí narození královny Alžběty II. – Náhrdelník Baring budou na webu Zlaťáky.cz dostupné po oficiálním spuštění prodeje.</w:t>
      </w:r>
    </w:p>
    <w:p w:rsidR="00000000" w:rsidDel="00000000" w:rsidP="00000000" w:rsidRDefault="00000000" w:rsidRPr="00000000" w14:paraId="00000025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20" w:line="276" w:lineRule="auto"/>
        <w:jc w:val="both"/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sz w:val="16"/>
          <w:szCs w:val="16"/>
          <w:rtl w:val="0"/>
        </w:rPr>
        <w:t xml:space="preserve">Společnost Zlaťáky.cz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31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31" w:lineRule="auto"/>
        <w:jc w:val="center"/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sz w:val="16"/>
          <w:szCs w:val="16"/>
          <w:rtl w:val="0"/>
        </w:rPr>
        <w:t xml:space="preserve">Kontakt pro média: </w:t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Dominika Bártová</w:t>
      </w:r>
    </w:p>
    <w:p w:rsidR="00000000" w:rsidDel="00000000" w:rsidP="00000000" w:rsidRDefault="00000000" w:rsidRPr="00000000" w14:paraId="0000002D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PR Manager Zlaťáky.cz</w:t>
      </w:r>
    </w:p>
    <w:p w:rsidR="00000000" w:rsidDel="00000000" w:rsidP="00000000" w:rsidRDefault="00000000" w:rsidRPr="00000000" w14:paraId="0000002E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Tel.: 607 846 988</w:t>
      </w:r>
    </w:p>
    <w:p w:rsidR="00000000" w:rsidDel="00000000" w:rsidP="00000000" w:rsidRDefault="00000000" w:rsidRPr="00000000" w14:paraId="0000002F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E-mail: </w:t>
      </w:r>
      <w:hyperlink r:id="rId11">
        <w:r w:rsidDel="00000000" w:rsidR="00000000" w:rsidRPr="00000000">
          <w:rPr>
            <w:i w:val="1"/>
            <w:iCs w:val="1"/>
            <w:color w:val="1155cc"/>
            <w:sz w:val="16"/>
            <w:szCs w:val="16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dominika.bartova@zlataky.cz" TargetMode="External"/><Relationship Id="rId10" Type="http://schemas.openxmlformats.org/officeDocument/2006/relationships/image" Target="media/image1.jp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tribrnaky.zlataky.cz/stribrna-mince-100-vyroci-narozeni-kralovny-alzbety-ii-nahrdelnik-baring-2026-proo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lataky.cz/zlata-mince-100-vyroci-narozeni-kralovny-alzbety-ii-nahrdelnik-baring-2026-proof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dZNDEMB/U8c2tp1BIsqXG5QCow==">CgMxLjA4AHIhMXZpOEhyV0hFNmxLSW1tUDNRMy1GckpTd0ZwZlVSVDhq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