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80"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80"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right w:color="000000" w:space="26" w:sz="0" w:val="none"/>
        </w:pBdr>
        <w:spacing w:line="330" w:lineRule="auto"/>
        <w:jc w:val="center"/>
        <w:rPr>
          <w:b w:val="1"/>
          <w:color w:val="222222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TZ: </w:t>
      </w:r>
      <w:r w:rsidDel="00000000" w:rsidR="00000000" w:rsidRPr="00000000">
        <w:rPr>
          <w:b w:val="1"/>
          <w:color w:val="222222"/>
          <w:sz w:val="24"/>
          <w:szCs w:val="24"/>
          <w:u w:val="single"/>
          <w:rtl w:val="0"/>
        </w:rPr>
        <w:t xml:space="preserve">Češi a Němci mají stále větší zájem o zlato, podmínky pro nákup se ale zpřísňují</w:t>
      </w:r>
    </w:p>
    <w:p w:rsidR="00000000" w:rsidDel="00000000" w:rsidP="00000000" w:rsidRDefault="00000000" w:rsidRPr="00000000" w14:paraId="0000000D">
      <w:pPr>
        <w:pBdr>
          <w:right w:color="000000" w:space="26" w:sz="0" w:val="none"/>
        </w:pBdr>
        <w:spacing w:line="330" w:lineRule="auto"/>
        <w:jc w:val="center"/>
        <w:rPr>
          <w:rFonts w:ascii="Georgia" w:cs="Georgia" w:eastAsia="Georgia" w:hAnsi="Georgia"/>
          <w:b w:val="1"/>
          <w:u w:val="single"/>
        </w:rPr>
      </w:pPr>
      <w:bookmarkStart w:colFirst="0" w:colLast="0" w:name="_heading=h.uuxla0loc4m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Karlovy Vary, 28. července 2023</w:t>
      </w:r>
    </w:p>
    <w:p w:rsidR="00000000" w:rsidDel="00000000" w:rsidP="00000000" w:rsidRDefault="00000000" w:rsidRPr="00000000" w14:paraId="0000000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ČNB 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navýšila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 v červnu své rezervy na 19,56 tun zlata. Pokud bychom tento objem zlata 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rozpočetli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 na obyvatele (10 850 000), tak by každý Čech měl z této rezervy 1,8 g zlata. Jen pro představu, tato váha odpovídá jednomu zlatému prstenu. Samozřejmě mezi obyvateli je žlutého kovu mnohem více, než vlastní samotná ČNB.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Z hlediska okolních států mají ale nejvíce zlata Němci a 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to konkrétně 3 354,89 tun. I když je trend 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navyšování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 zlatých rezerv obou zemí na vzestupu, podmínky pro samotný nákup se u jednotlivců stále zpřísňují. </w:t>
      </w:r>
    </w:p>
    <w:p w:rsidR="00000000" w:rsidDel="00000000" w:rsidP="00000000" w:rsidRDefault="00000000" w:rsidRPr="00000000" w14:paraId="00000011">
      <w:pPr>
        <w:spacing w:line="288" w:lineRule="auto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Kvůli evropským směrnicím, které bojují proti praní špinavých peněz, mohou zákazníci v Německu pořídit za hotovost a bez doložení dokladu totožnosti drahé kovy v maximální částce 2 tisíc EUR (cca 48 tisíc Kč). Za tuto částku si mohou zájemci pořídit například 1 unci zlata. Při větším obnosu již musí dokládat svoji totožnost. A právě z tohoto důvodu začali němečtí investoři stále více nakupovat právě v Česku, kde je povolen denní limit bez předložení OP do 270 tisíc Kč.</w:t>
      </w:r>
    </w:p>
    <w:p w:rsidR="00000000" w:rsidDel="00000000" w:rsidP="00000000" w:rsidRDefault="00000000" w:rsidRPr="00000000" w14:paraId="00000013">
      <w:pPr>
        <w:spacing w:line="288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8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“Naše karlovarská pobočka se nachází v blízkosti hranic s Německem, proto se stala vyhledávaným místem německých turistů, kteří při svých návštěvách v lázeňském městě zavítají i na naši pobočku. Sice v ČR stojí unce zlata o něco více než v Německu, ale zase tu máme vyšší denní limit při platbě v hotovosti bez doložení dokladu totožnosti. Ne každý klient chce být dohledatelný, ať už třeba z důvodu bezpečnosti,”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říká Petr Miškovský, obchodní poradce Zlaťáky.cz a dodává, že nad 270 000 Kč už vyžaduje společnost platbu a identifikaci skrz banku tak, jak to ukládá zákon.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88" w:lineRule="auto"/>
        <w:jc w:val="both"/>
        <w:rPr>
          <w:i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88" w:lineRule="auto"/>
        <w:jc w:val="both"/>
        <w:rPr>
          <w:i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88" w:lineRule="auto"/>
        <w:jc w:val="both"/>
        <w:rPr>
          <w:i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88" w:lineRule="auto"/>
        <w:jc w:val="both"/>
        <w:rPr>
          <w:i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88" w:lineRule="auto"/>
        <w:jc w:val="both"/>
        <w:rPr>
          <w:i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88" w:lineRule="auto"/>
        <w:jc w:val="both"/>
        <w:rPr>
          <w:i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88" w:lineRule="auto"/>
        <w:jc w:val="both"/>
        <w:rPr>
          <w:i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88" w:lineRule="auto"/>
        <w:jc w:val="both"/>
        <w:rPr>
          <w:i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88" w:lineRule="auto"/>
        <w:jc w:val="both"/>
        <w:rPr>
          <w:i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88" w:lineRule="auto"/>
        <w:jc w:val="both"/>
        <w:rPr>
          <w:i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88" w:lineRule="auto"/>
        <w:jc w:val="both"/>
        <w:rPr>
          <w:i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88" w:lineRule="auto"/>
        <w:jc w:val="both"/>
        <w:rPr>
          <w:i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88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i w:val="1"/>
          <w:color w:val="222222"/>
          <w:sz w:val="24"/>
          <w:szCs w:val="24"/>
          <w:rtl w:val="0"/>
        </w:rPr>
        <w:t xml:space="preserve">“Žlutý kov je u Němců velmi oblíbený především kvůli jejich negativní zkušenosti s hyperinflací ve dvacátých letech minulého století, měnovou reformou a poválečnou obnovou. Papír se stal bezcenným, zlato však vyhrálo,”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uvádí analytik společnosti Zlaťáky.cz Jakub Petruška. </w:t>
      </w:r>
    </w:p>
    <w:p w:rsidR="00000000" w:rsidDel="00000000" w:rsidP="00000000" w:rsidRDefault="00000000" w:rsidRPr="00000000" w14:paraId="00000023">
      <w:pPr>
        <w:spacing w:line="288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88" w:lineRule="auto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Německá vláda pod vlivem Evropské legislativy zpřísnila nákupy zlata více než okolní země. Spolková rada usiluje o ještě nižší limit pro nákup vzácných kovů a to do výše 1 000 EUR, tzn. že Němci si možná už brzy nebudou moci koupit ani jednu unci zlata bez předložení identifikace. Lze tedy předpokládat, že nárůst počtu německých investorů se v ČR ještě zvýší.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88" w:lineRule="auto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88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i w:val="1"/>
          <w:color w:val="222222"/>
          <w:sz w:val="24"/>
          <w:szCs w:val="24"/>
          <w:highlight w:val="white"/>
          <w:rtl w:val="0"/>
        </w:rPr>
        <w:t xml:space="preserve">“Ke zvyšující se poptávce je možné přičíst i rostoucí finanční osvětu, jelikož lidé diverzifikují svá portfolia a přidávají do nich právě zlato. Což je další faktor, který potvrzuje tento “žlutý” trend,”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dodává Petruška.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88" w:lineRule="auto"/>
        <w:jc w:val="both"/>
        <w:rPr>
          <w:i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88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Čeští i němečtí investoři stále častěji vyhledávají bezpečná místa, jak ochránit své bohatství a to jim umožňují především vzácné kovy. Vliv na to má také míra inflace, která v Německu i v Česku dosáhla v minulém roce rekordních úrovní. Letos v červnu však došlo v Německu i v Česku k určitému zlepšení, kdy se hodnota dostala pod 10 % (Německo 6,4 %, Česko 9,7 %). Inflace je však i nadále výrazně nad vysněným cílem národních bank obou zemí, čímž lze říci, že je stále vysoká a znehodnocuje jak majetky Němců, tak Čechů. A právě to vede obyvatele obou zemí k investování do zlata, které je od nepaměti vnímáno jako ochrana majetku před ztrátou hodnoty. </w:t>
      </w:r>
    </w:p>
    <w:p w:rsidR="00000000" w:rsidDel="00000000" w:rsidP="00000000" w:rsidRDefault="00000000" w:rsidRPr="00000000" w14:paraId="00000029">
      <w:pPr>
        <w:spacing w:after="240" w:line="276" w:lineRule="auto"/>
        <w:jc w:val="both"/>
        <w:rPr>
          <w:b w:val="1"/>
          <w:i w:val="1"/>
          <w:color w:val="2021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line="276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12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Společnost Zlaťáky.cz</w:t>
      </w:r>
      <w:r w:rsidDel="00000000" w:rsidR="00000000" w:rsidRPr="00000000">
        <w:rPr>
          <w:sz w:val="20"/>
          <w:szCs w:val="20"/>
          <w:rtl w:val="0"/>
        </w:rPr>
        <w:t xml:space="preserve"> vznikla v roce 2006 a specializuje se na nákup a prodej investičního zlata, stříbra a numismatiky. Se vstupem nového majitele se rozrostla prodejní síť i sortiment zboží a poskytovaných služeb. Dynamický růst miliardové firmy podpořila modernizace e-shopu, vytvoření konsolidačního skladu, navýšení skladových zásob zlata i stříbra a otevření nových kamenných poboček. V současné době má společnost devět prodejen v Česku a na Slovensku.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b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31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31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Kontakt pro média: 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Dominika Bártová</w:t>
      </w:r>
    </w:p>
    <w:p w:rsidR="00000000" w:rsidDel="00000000" w:rsidP="00000000" w:rsidRDefault="00000000" w:rsidRPr="00000000" w14:paraId="0000003D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 Manager Zlaťáky.cz</w:t>
      </w:r>
    </w:p>
    <w:p w:rsidR="00000000" w:rsidDel="00000000" w:rsidP="00000000" w:rsidRDefault="00000000" w:rsidRPr="00000000" w14:paraId="0000003E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Tel.: 607 846 988</w:t>
      </w:r>
    </w:p>
    <w:p w:rsidR="00000000" w:rsidDel="00000000" w:rsidP="00000000" w:rsidRDefault="00000000" w:rsidRPr="00000000" w14:paraId="0000003F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dominika.bartova@zlataky.cz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rPr/>
    </w:pPr>
    <w:r w:rsidDel="00000000" w:rsidR="00000000" w:rsidRPr="00000000">
      <w:rPr/>
      <w:pict>
        <v:shape id="WordPictureWatermark1" style="position:absolute;width:596.1768503937008pt;height:843.301732283464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ominika.bartova@zlataky.cz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1/Nj4fe+gcLexxtyNpa2FCcxjA==">CgMxLjAyCGguZ2pkZ3hzMg5oLnV1eGxhMGxvYzRtZTgAciExWHNmTTRCTWV3NWpuc19XUzBEcDY4QXVIUldocGdjdTg=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