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90D17A" w14:textId="77777777" w:rsidR="00FE3B81" w:rsidRPr="00FE3B81" w:rsidRDefault="00995282" w:rsidP="00995282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</w:pPr>
      <w:r w:rsidRPr="0002239E">
        <w:rPr>
          <w:rFonts w:eastAsia="Times New Roman" w:cstheme="minorHAnsi"/>
          <w:b/>
          <w:bCs/>
          <w:sz w:val="28"/>
          <w:szCs w:val="28"/>
          <w:lang w:eastAsia="pl-PL"/>
        </w:rPr>
        <w:t>Inwestycja w Tajlandii: pułapka krótkoterminowego najmu a realne stopy zwrotu</w:t>
      </w:r>
    </w:p>
    <w:p w14:paraId="37C1354C" w14:textId="77777777" w:rsidR="0002239E" w:rsidRPr="00FE3B81" w:rsidRDefault="00FE3B81" w:rsidP="0002239E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FE3B81">
        <w:rPr>
          <w:rFonts w:eastAsia="Times New Roman" w:cstheme="minorHAnsi"/>
          <w:sz w:val="28"/>
          <w:szCs w:val="28"/>
          <w:lang w:eastAsia="pl-PL"/>
        </w:rPr>
        <w:t xml:space="preserve">Tajlandia coraz częściej </w:t>
      </w:r>
      <w:r w:rsidR="0002239E">
        <w:rPr>
          <w:rFonts w:eastAsia="Times New Roman" w:cstheme="minorHAnsi"/>
          <w:sz w:val="28"/>
          <w:szCs w:val="28"/>
          <w:lang w:eastAsia="pl-PL"/>
        </w:rPr>
        <w:t>interesuje polskic</w:t>
      </w:r>
      <w:r w:rsidR="00E9374D">
        <w:rPr>
          <w:rFonts w:eastAsia="Times New Roman" w:cstheme="minorHAnsi"/>
          <w:sz w:val="28"/>
          <w:szCs w:val="28"/>
          <w:lang w:eastAsia="pl-PL"/>
        </w:rPr>
        <w:t>h inwestorów</w:t>
      </w:r>
      <w:r w:rsidR="0002239E">
        <w:rPr>
          <w:rFonts w:eastAsia="Times New Roman" w:cstheme="minorHAnsi"/>
          <w:sz w:val="28"/>
          <w:szCs w:val="28"/>
          <w:lang w:eastAsia="pl-PL"/>
        </w:rPr>
        <w:t>. Stoi za tym wzrost</w:t>
      </w:r>
      <w:r w:rsidRPr="00FE3B81">
        <w:rPr>
          <w:rFonts w:eastAsia="Times New Roman" w:cstheme="minorHAnsi"/>
          <w:sz w:val="28"/>
          <w:szCs w:val="28"/>
          <w:lang w:eastAsia="pl-PL"/>
        </w:rPr>
        <w:t xml:space="preserve"> wartości nieruchomości, stopy zwrotu</w:t>
      </w:r>
      <w:r w:rsidR="00E9374D">
        <w:rPr>
          <w:rFonts w:eastAsia="Times New Roman" w:cstheme="minorHAnsi"/>
          <w:sz w:val="28"/>
          <w:szCs w:val="28"/>
          <w:lang w:eastAsia="pl-PL"/>
        </w:rPr>
        <w:t>, które sięgają</w:t>
      </w:r>
      <w:r w:rsidRPr="00FE3B81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E9374D">
        <w:rPr>
          <w:rFonts w:eastAsia="Times New Roman" w:cstheme="minorHAnsi"/>
          <w:sz w:val="28"/>
          <w:szCs w:val="28"/>
          <w:lang w:eastAsia="pl-PL"/>
        </w:rPr>
        <w:t>5-12 proc.</w:t>
      </w:r>
      <w:r w:rsidRPr="00FE3B81">
        <w:rPr>
          <w:rFonts w:eastAsia="Times New Roman" w:cstheme="minorHAnsi"/>
          <w:sz w:val="28"/>
          <w:szCs w:val="28"/>
          <w:lang w:eastAsia="pl-PL"/>
        </w:rPr>
        <w:t xml:space="preserve"> rocznie, liberalne przepisy dla cudzozi</w:t>
      </w:r>
      <w:r w:rsidR="0002239E">
        <w:rPr>
          <w:rFonts w:eastAsia="Times New Roman" w:cstheme="minorHAnsi"/>
          <w:sz w:val="28"/>
          <w:szCs w:val="28"/>
          <w:lang w:eastAsia="pl-PL"/>
        </w:rPr>
        <w:t>emców i rosnąca liczba turystów. Trzeba jednak zdawać sobie sprawę z pułapek najmu krótkoterminowego.</w:t>
      </w:r>
    </w:p>
    <w:p w14:paraId="0A2687BE" w14:textId="77777777" w:rsidR="00FE3B81" w:rsidRPr="00FE3B81" w:rsidRDefault="00FE3B81" w:rsidP="00FE3B81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FE3B81">
        <w:rPr>
          <w:rFonts w:eastAsia="Times New Roman" w:cstheme="minorHAnsi"/>
          <w:sz w:val="28"/>
          <w:szCs w:val="28"/>
          <w:lang w:eastAsia="pl-PL"/>
        </w:rPr>
        <w:t>Prawo tajskie jednoznacznie zabrania wynajmu ni</w:t>
      </w:r>
      <w:r w:rsidR="00E9374D">
        <w:rPr>
          <w:rFonts w:eastAsia="Times New Roman" w:cstheme="minorHAnsi"/>
          <w:sz w:val="28"/>
          <w:szCs w:val="28"/>
          <w:lang w:eastAsia="pl-PL"/>
        </w:rPr>
        <w:t>eruchomości prywatnych na okres krótszy</w:t>
      </w:r>
      <w:r w:rsidRPr="00FE3B81">
        <w:rPr>
          <w:rFonts w:eastAsia="Times New Roman" w:cstheme="minorHAnsi"/>
          <w:sz w:val="28"/>
          <w:szCs w:val="28"/>
          <w:lang w:eastAsia="pl-PL"/>
        </w:rPr>
        <w:t xml:space="preserve"> niż 30 dni, jeśli właściciel lub zarządca nie posiada licencji hotelowej. Mówi o tym Hotel Act z 2004 roku, który obejmuje wszystkie formy kr</w:t>
      </w:r>
      <w:r w:rsidR="0002239E">
        <w:rPr>
          <w:rFonts w:eastAsia="Times New Roman" w:cstheme="minorHAnsi"/>
          <w:sz w:val="28"/>
          <w:szCs w:val="28"/>
          <w:lang w:eastAsia="pl-PL"/>
        </w:rPr>
        <w:t>ótkoterminowego zakwaterowania -</w:t>
      </w:r>
      <w:r w:rsidRPr="00FE3B81">
        <w:rPr>
          <w:rFonts w:eastAsia="Times New Roman" w:cstheme="minorHAnsi"/>
          <w:sz w:val="28"/>
          <w:szCs w:val="28"/>
          <w:lang w:eastAsia="pl-PL"/>
        </w:rPr>
        <w:t xml:space="preserve"> niezależnie od tego, czy ogłoszenie wystawione jest na Airbnb, Booking.com, czy bezpośrednio przez dewelopera.</w:t>
      </w:r>
    </w:p>
    <w:p w14:paraId="0332436B" w14:textId="77777777" w:rsidR="00FE3B81" w:rsidRDefault="00E9374D" w:rsidP="00FE3B81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iCs/>
          <w:sz w:val="28"/>
          <w:szCs w:val="28"/>
          <w:lang w:eastAsia="pl-PL"/>
        </w:rPr>
        <w:t>–</w:t>
      </w:r>
      <w:r w:rsidR="0002239E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FE3B81" w:rsidRPr="00FE3B81">
        <w:rPr>
          <w:rFonts w:eastAsia="Times New Roman" w:cstheme="minorHAnsi"/>
          <w:sz w:val="28"/>
          <w:szCs w:val="28"/>
          <w:lang w:eastAsia="pl-PL"/>
        </w:rPr>
        <w:t>To nie martwe prawo. Tajskie władze regularnie prowadzą kontrole, nakładają kary finansowe i zamykają budynki, w których nielegalny najem jest praktykowany na masową skalę. Kar</w:t>
      </w:r>
      <w:r w:rsidR="0002239E">
        <w:rPr>
          <w:rFonts w:eastAsia="Times New Roman" w:cstheme="minorHAnsi"/>
          <w:sz w:val="28"/>
          <w:szCs w:val="28"/>
          <w:lang w:eastAsia="pl-PL"/>
        </w:rPr>
        <w:t xml:space="preserve">a może wynieść do 20 </w:t>
      </w:r>
      <w:r w:rsidR="004D70E2">
        <w:rPr>
          <w:rFonts w:eastAsia="Times New Roman" w:cstheme="minorHAnsi"/>
          <w:sz w:val="28"/>
          <w:szCs w:val="28"/>
          <w:lang w:eastAsia="pl-PL"/>
        </w:rPr>
        <w:t>tys.</w:t>
      </w:r>
      <w:r w:rsidR="0002239E">
        <w:rPr>
          <w:rFonts w:eastAsia="Times New Roman" w:cstheme="minorHAnsi"/>
          <w:sz w:val="28"/>
          <w:szCs w:val="28"/>
          <w:lang w:eastAsia="pl-PL"/>
        </w:rPr>
        <w:t xml:space="preserve"> bahtów, czyli ok. 2400 zł i dotyczy</w:t>
      </w:r>
      <w:r w:rsidR="00FE3B81" w:rsidRPr="00FE3B81">
        <w:rPr>
          <w:rFonts w:eastAsia="Times New Roman" w:cstheme="minorHAnsi"/>
          <w:sz w:val="28"/>
          <w:szCs w:val="28"/>
          <w:lang w:eastAsia="pl-PL"/>
        </w:rPr>
        <w:t xml:space="preserve"> zarówno zarządcy, jak i właściciela lokalu</w:t>
      </w:r>
      <w:r w:rsidR="004D70E2">
        <w:rPr>
          <w:rFonts w:eastAsia="Times New Roman" w:cstheme="minorHAnsi"/>
          <w:sz w:val="28"/>
          <w:szCs w:val="28"/>
          <w:lang w:eastAsia="pl-PL"/>
        </w:rPr>
        <w:t>, a potem 10</w:t>
      </w:r>
      <w:r w:rsidR="0002239E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4D70E2">
        <w:rPr>
          <w:rFonts w:eastAsia="Times New Roman" w:cstheme="minorHAnsi"/>
          <w:sz w:val="28"/>
          <w:szCs w:val="28"/>
          <w:lang w:eastAsia="pl-PL"/>
        </w:rPr>
        <w:t xml:space="preserve">tys. bahtów za każdy kolejny dzień naruszenia </w:t>
      </w:r>
      <w:r w:rsidR="0002239E">
        <w:rPr>
          <w:rFonts w:eastAsia="Times New Roman" w:cstheme="minorHAnsi"/>
          <w:sz w:val="28"/>
          <w:szCs w:val="28"/>
          <w:lang w:eastAsia="pl-PL"/>
        </w:rPr>
        <w:t>– wyjaśnia Joanna Ossowska-Rodziewicz, współwłaścicielka agencji nieruchomości By-Bright</w:t>
      </w:r>
      <w:r w:rsidR="00FE3B81" w:rsidRPr="00FE3B81">
        <w:rPr>
          <w:rFonts w:eastAsia="Times New Roman" w:cstheme="minorHAnsi"/>
          <w:sz w:val="28"/>
          <w:szCs w:val="28"/>
          <w:lang w:eastAsia="pl-PL"/>
        </w:rPr>
        <w:t>.</w:t>
      </w:r>
    </w:p>
    <w:p w14:paraId="3A51069C" w14:textId="77777777" w:rsidR="004D70E2" w:rsidRPr="00FE3B81" w:rsidRDefault="004D70E2" w:rsidP="004D70E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sz w:val="28"/>
          <w:szCs w:val="28"/>
          <w:lang w:eastAsia="pl-PL"/>
        </w:rPr>
        <w:t>Który model wynajmu wybrać?</w:t>
      </w:r>
    </w:p>
    <w:p w14:paraId="211A97A5" w14:textId="7C7DCFD8" w:rsidR="009C4C2B" w:rsidRDefault="004D70E2" w:rsidP="009C4C2B">
      <w:r>
        <w:rPr>
          <w:rFonts w:eastAsia="Times New Roman" w:cstheme="minorHAnsi"/>
          <w:sz w:val="28"/>
          <w:szCs w:val="28"/>
          <w:lang w:eastAsia="pl-PL"/>
        </w:rPr>
        <w:t xml:space="preserve">Podstawą działania zgodnie z prawem jest </w:t>
      </w:r>
      <w:r w:rsidRPr="009C4C2B">
        <w:rPr>
          <w:rFonts w:eastAsia="Times New Roman" w:cstheme="minorHAnsi"/>
          <w:sz w:val="28"/>
          <w:szCs w:val="28"/>
          <w:lang w:eastAsia="pl-PL"/>
        </w:rPr>
        <w:t>licencja hotelowa.</w:t>
      </w:r>
      <w:r w:rsidR="009C4C2B" w:rsidRPr="009C4C2B">
        <w:rPr>
          <w:sz w:val="28"/>
          <w:szCs w:val="28"/>
        </w:rPr>
        <w:t xml:space="preserve"> </w:t>
      </w:r>
      <w:r w:rsidR="009C4C2B" w:rsidRPr="009C4C2B">
        <w:rPr>
          <w:sz w:val="28"/>
          <w:szCs w:val="28"/>
        </w:rPr>
        <w:t>W praktyce oznacza to najczęściej funkcjonowanie budynku w formule condo-hotel lub rental pool</w:t>
      </w:r>
      <w:r w:rsidR="009C4C2B">
        <w:rPr>
          <w:sz w:val="28"/>
          <w:szCs w:val="28"/>
        </w:rPr>
        <w:t>,</w:t>
      </w:r>
      <w:r w:rsidR="009C4C2B" w:rsidRPr="009C4C2B">
        <w:rPr>
          <w:sz w:val="28"/>
          <w:szCs w:val="28"/>
        </w:rPr>
        <w:t xml:space="preserve"> zarządzanego przez operatora</w:t>
      </w:r>
      <w:r w:rsidR="009C4C2B">
        <w:rPr>
          <w:sz w:val="28"/>
          <w:szCs w:val="28"/>
        </w:rPr>
        <w:t>, który posiada</w:t>
      </w:r>
      <w:r w:rsidR="009C4C2B" w:rsidRPr="009C4C2B">
        <w:rPr>
          <w:sz w:val="28"/>
          <w:szCs w:val="28"/>
        </w:rPr>
        <w:t xml:space="preserve"> odpowiednie uprawnienia lub współpracującego z licencjonowanym podmiotem hotelowym.</w:t>
      </w:r>
      <w:r w:rsidRPr="009C4C2B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9C4C2B">
        <w:rPr>
          <w:sz w:val="28"/>
          <w:szCs w:val="28"/>
        </w:rPr>
        <w:t>–</w:t>
      </w:r>
      <w:r w:rsidR="009C4C2B">
        <w:rPr>
          <w:sz w:val="28"/>
          <w:szCs w:val="28"/>
        </w:rPr>
        <w:t xml:space="preserve"> B</w:t>
      </w:r>
      <w:r w:rsidR="009C4C2B" w:rsidRPr="009C4C2B">
        <w:rPr>
          <w:sz w:val="28"/>
          <w:szCs w:val="28"/>
        </w:rPr>
        <w:t>ardzo istotne jest</w:t>
      </w:r>
      <w:r w:rsidR="009C4C2B">
        <w:rPr>
          <w:sz w:val="28"/>
          <w:szCs w:val="28"/>
        </w:rPr>
        <w:t>, żeby sprawdzić te warunki u d</w:t>
      </w:r>
      <w:r w:rsidR="009C4C2B" w:rsidRPr="009C4C2B">
        <w:rPr>
          <w:sz w:val="28"/>
          <w:szCs w:val="28"/>
        </w:rPr>
        <w:t>ewelopera</w:t>
      </w:r>
      <w:r w:rsidR="00A248B1">
        <w:rPr>
          <w:sz w:val="28"/>
          <w:szCs w:val="28"/>
        </w:rPr>
        <w:t>, gdy</w:t>
      </w:r>
      <w:r w:rsidR="009C4C2B" w:rsidRPr="009C4C2B">
        <w:rPr>
          <w:sz w:val="28"/>
          <w:szCs w:val="28"/>
        </w:rPr>
        <w:t xml:space="preserve"> </w:t>
      </w:r>
      <w:r w:rsidR="00A248B1">
        <w:rPr>
          <w:sz w:val="28"/>
          <w:szCs w:val="28"/>
        </w:rPr>
        <w:t>kupujemy</w:t>
      </w:r>
      <w:r w:rsidR="009C4C2B">
        <w:rPr>
          <w:sz w:val="28"/>
          <w:szCs w:val="28"/>
        </w:rPr>
        <w:t xml:space="preserve"> </w:t>
      </w:r>
      <w:r w:rsidR="00A248B1">
        <w:rPr>
          <w:sz w:val="28"/>
          <w:szCs w:val="28"/>
        </w:rPr>
        <w:t>nieruchomości</w:t>
      </w:r>
      <w:r w:rsidR="00A248B1">
        <w:rPr>
          <w:sz w:val="28"/>
          <w:szCs w:val="28"/>
        </w:rPr>
        <w:t xml:space="preserve"> </w:t>
      </w:r>
      <w:r w:rsidR="009C4C2B">
        <w:rPr>
          <w:sz w:val="28"/>
          <w:szCs w:val="28"/>
        </w:rPr>
        <w:t>inwestycyjnie – dodaje Joanna Ossowska-Rodziewicz.</w:t>
      </w:r>
    </w:p>
    <w:p w14:paraId="6C6A3857" w14:textId="58614A84" w:rsidR="004D70E2" w:rsidRDefault="004D70E2" w:rsidP="004D70E2">
      <w:pPr>
        <w:spacing w:before="100" w:beforeAutospacing="1" w:after="100" w:afterAutospacing="1" w:line="240" w:lineRule="auto"/>
        <w:rPr>
          <w:rFonts w:eastAsia="Times New Roman" w:cstheme="minorHAnsi"/>
          <w:iCs/>
          <w:sz w:val="28"/>
          <w:szCs w:val="28"/>
          <w:lang w:eastAsia="pl-PL"/>
        </w:rPr>
      </w:pPr>
      <w:r w:rsidRPr="00FE3B81">
        <w:rPr>
          <w:rFonts w:eastAsia="Times New Roman" w:cstheme="minorHAnsi"/>
          <w:sz w:val="28"/>
          <w:szCs w:val="28"/>
          <w:lang w:eastAsia="pl-PL"/>
        </w:rPr>
        <w:t xml:space="preserve">Alternatywą dla modelu krótkoterminowego jest najem długoterminowy, który w ogóle nie </w:t>
      </w:r>
      <w:r w:rsidRPr="009C4C2B">
        <w:rPr>
          <w:rFonts w:eastAsia="Times New Roman" w:cstheme="minorHAnsi"/>
          <w:sz w:val="28"/>
          <w:szCs w:val="28"/>
          <w:lang w:eastAsia="pl-PL"/>
        </w:rPr>
        <w:t>podlega tym ograniczeniom. Bangkok oferuje np. stabilne 4-5 proc. rocznie z najmu długoterminowego, Phuket – 8-</w:t>
      </w:r>
      <w:r w:rsidR="00E9374D" w:rsidRPr="009C4C2B">
        <w:rPr>
          <w:rFonts w:eastAsia="Times New Roman" w:cstheme="minorHAnsi"/>
          <w:sz w:val="28"/>
          <w:szCs w:val="28"/>
          <w:lang w:eastAsia="pl-PL"/>
        </w:rPr>
        <w:t xml:space="preserve">12 proc. </w:t>
      </w:r>
      <w:r w:rsidR="009C4C2B" w:rsidRPr="009C4C2B">
        <w:rPr>
          <w:sz w:val="28"/>
          <w:szCs w:val="28"/>
        </w:rPr>
        <w:t>W tym przypadku wielu</w:t>
      </w:r>
      <w:r w:rsidR="009C4C2B" w:rsidRPr="009C4C2B">
        <w:rPr>
          <w:sz w:val="28"/>
          <w:szCs w:val="28"/>
        </w:rPr>
        <w:t xml:space="preserve"> renomowanych deweloperów ma firmy</w:t>
      </w:r>
      <w:r w:rsidR="009C4C2B" w:rsidRPr="009C4C2B">
        <w:rPr>
          <w:sz w:val="28"/>
          <w:szCs w:val="28"/>
        </w:rPr>
        <w:t>, które zajmują się</w:t>
      </w:r>
      <w:r w:rsidR="009C4C2B" w:rsidRPr="009C4C2B">
        <w:rPr>
          <w:sz w:val="28"/>
          <w:szCs w:val="28"/>
        </w:rPr>
        <w:t xml:space="preserve"> najmem</w:t>
      </w:r>
      <w:r w:rsidR="009C4C2B" w:rsidRPr="009C4C2B">
        <w:rPr>
          <w:sz w:val="28"/>
          <w:szCs w:val="28"/>
        </w:rPr>
        <w:t>, aby zagwarantować</w:t>
      </w:r>
      <w:r w:rsidR="009C4C2B">
        <w:rPr>
          <w:sz w:val="28"/>
          <w:szCs w:val="28"/>
        </w:rPr>
        <w:t xml:space="preserve"> kompleksowe usługi, przede wszystkim dla</w:t>
      </w:r>
      <w:r w:rsidR="00A248B1">
        <w:rPr>
          <w:sz w:val="28"/>
          <w:szCs w:val="28"/>
        </w:rPr>
        <w:t xml:space="preserve"> zagranicznych klientów inwestycyjnych.</w:t>
      </w:r>
      <w:r w:rsidR="00A248B1">
        <w:rPr>
          <w:sz w:val="28"/>
          <w:szCs w:val="28"/>
        </w:rPr>
        <w:br/>
      </w:r>
      <w:r w:rsidR="009C4C2B">
        <w:rPr>
          <w:rFonts w:eastAsia="Times New Roman" w:cstheme="minorHAnsi"/>
          <w:sz w:val="28"/>
          <w:szCs w:val="28"/>
          <w:lang w:eastAsia="pl-PL"/>
        </w:rPr>
        <w:br/>
      </w:r>
      <w:r w:rsidR="00E9374D">
        <w:rPr>
          <w:rFonts w:eastAsia="Times New Roman" w:cstheme="minorHAnsi"/>
          <w:iCs/>
          <w:sz w:val="28"/>
          <w:szCs w:val="28"/>
          <w:lang w:eastAsia="pl-PL"/>
        </w:rPr>
        <w:t>–</w:t>
      </w:r>
      <w:r w:rsidRPr="00FE3B81">
        <w:rPr>
          <w:rFonts w:eastAsia="Times New Roman" w:cstheme="minorHAnsi"/>
          <w:sz w:val="28"/>
          <w:szCs w:val="28"/>
          <w:lang w:eastAsia="pl-PL"/>
        </w:rPr>
        <w:t xml:space="preserve"> </w:t>
      </w:r>
      <w:r>
        <w:rPr>
          <w:rFonts w:eastAsia="Times New Roman" w:cstheme="minorHAnsi"/>
          <w:sz w:val="28"/>
          <w:szCs w:val="28"/>
          <w:lang w:eastAsia="pl-PL"/>
        </w:rPr>
        <w:t xml:space="preserve">To </w:t>
      </w:r>
      <w:r w:rsidRPr="00FE3B81">
        <w:rPr>
          <w:rFonts w:eastAsia="Times New Roman" w:cstheme="minorHAnsi"/>
          <w:iCs/>
          <w:sz w:val="28"/>
          <w:szCs w:val="28"/>
          <w:lang w:eastAsia="pl-PL"/>
        </w:rPr>
        <w:t>dobre stopy zwrotu i możliwość połączenia in</w:t>
      </w:r>
      <w:r>
        <w:rPr>
          <w:rFonts w:eastAsia="Times New Roman" w:cstheme="minorHAnsi"/>
          <w:iCs/>
          <w:sz w:val="28"/>
          <w:szCs w:val="28"/>
          <w:lang w:eastAsia="pl-PL"/>
        </w:rPr>
        <w:t xml:space="preserve">westycji z własnym użytkowaniem – </w:t>
      </w:r>
      <w:r w:rsidR="00A248B1">
        <w:rPr>
          <w:rFonts w:eastAsia="Times New Roman" w:cstheme="minorHAnsi"/>
          <w:iCs/>
          <w:sz w:val="28"/>
          <w:szCs w:val="28"/>
          <w:lang w:eastAsia="pl-PL"/>
        </w:rPr>
        <w:t>mówi</w:t>
      </w:r>
      <w:bookmarkStart w:id="0" w:name="_GoBack"/>
      <w:bookmarkEnd w:id="0"/>
      <w:r>
        <w:rPr>
          <w:rFonts w:eastAsia="Times New Roman" w:cstheme="minorHAnsi"/>
          <w:iCs/>
          <w:sz w:val="28"/>
          <w:szCs w:val="28"/>
          <w:lang w:eastAsia="pl-PL"/>
        </w:rPr>
        <w:t xml:space="preserve"> Robert Reiski, współwłaściciel agencji nieruchomości By-Bright.</w:t>
      </w:r>
    </w:p>
    <w:p w14:paraId="42005A2A" w14:textId="77777777" w:rsidR="00E9374D" w:rsidRPr="00FE3B81" w:rsidRDefault="00E9374D" w:rsidP="00E9374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FE3B81">
        <w:rPr>
          <w:rFonts w:eastAsia="Times New Roman" w:cstheme="minorHAnsi"/>
          <w:b/>
          <w:bCs/>
          <w:sz w:val="28"/>
          <w:szCs w:val="28"/>
          <w:lang w:eastAsia="pl-PL"/>
        </w:rPr>
        <w:lastRenderedPageBreak/>
        <w:t>Tajlandia wymaga przygotowania</w:t>
      </w:r>
    </w:p>
    <w:p w14:paraId="228FE124" w14:textId="77777777" w:rsidR="00E9374D" w:rsidRPr="00FE3B81" w:rsidRDefault="00E9374D" w:rsidP="00E9374D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FE3B81">
        <w:rPr>
          <w:rFonts w:eastAsia="Times New Roman" w:cstheme="minorHAnsi"/>
          <w:sz w:val="28"/>
          <w:szCs w:val="28"/>
          <w:lang w:eastAsia="pl-PL"/>
        </w:rPr>
        <w:t xml:space="preserve">Tajlandia jest prawdziwą szansą inwestycyjną. Kraj odwiedziło w </w:t>
      </w:r>
      <w:r>
        <w:rPr>
          <w:rFonts w:eastAsia="Times New Roman" w:cstheme="minorHAnsi"/>
          <w:sz w:val="28"/>
          <w:szCs w:val="28"/>
          <w:lang w:eastAsia="pl-PL"/>
        </w:rPr>
        <w:t>ubiegłym roku</w:t>
      </w:r>
      <w:r w:rsidRPr="00FE3B81">
        <w:rPr>
          <w:rFonts w:eastAsia="Times New Roman" w:cstheme="minorHAnsi"/>
          <w:sz w:val="28"/>
          <w:szCs w:val="28"/>
          <w:lang w:eastAsia="pl-PL"/>
        </w:rPr>
        <w:t xml:space="preserve"> około 30 milionów zagranicznych turystów. Wzrost wartości nieruchomości w Phuket wyniósł w </w:t>
      </w:r>
      <w:r>
        <w:rPr>
          <w:rFonts w:eastAsia="Times New Roman" w:cstheme="minorHAnsi"/>
          <w:sz w:val="28"/>
          <w:szCs w:val="28"/>
          <w:lang w:eastAsia="pl-PL"/>
        </w:rPr>
        <w:t>ostatnim</w:t>
      </w:r>
      <w:r w:rsidRPr="00FE3B81">
        <w:rPr>
          <w:rFonts w:eastAsia="Times New Roman" w:cstheme="minorHAnsi"/>
          <w:sz w:val="28"/>
          <w:szCs w:val="28"/>
          <w:lang w:eastAsia="pl-PL"/>
        </w:rPr>
        <w:t xml:space="preserve"> kw</w:t>
      </w:r>
      <w:r>
        <w:rPr>
          <w:rFonts w:eastAsia="Times New Roman" w:cstheme="minorHAnsi"/>
          <w:sz w:val="28"/>
          <w:szCs w:val="28"/>
          <w:lang w:eastAsia="pl-PL"/>
        </w:rPr>
        <w:t>artale 2025 roku ponad 5 proc.</w:t>
      </w:r>
      <w:r w:rsidRPr="00FE3B81">
        <w:rPr>
          <w:rFonts w:eastAsia="Times New Roman" w:cstheme="minorHAnsi"/>
          <w:sz w:val="28"/>
          <w:szCs w:val="28"/>
          <w:lang w:eastAsia="pl-PL"/>
        </w:rPr>
        <w:t xml:space="preserve"> rok do roku. Program LTR Visa przyciąga </w:t>
      </w:r>
      <w:r>
        <w:rPr>
          <w:rFonts w:eastAsia="Times New Roman" w:cstheme="minorHAnsi"/>
          <w:sz w:val="28"/>
          <w:szCs w:val="28"/>
          <w:lang w:eastAsia="pl-PL"/>
        </w:rPr>
        <w:t xml:space="preserve">rezydentów i napędza popyt na </w:t>
      </w:r>
      <w:r w:rsidRPr="00FE3B81">
        <w:rPr>
          <w:rFonts w:eastAsia="Times New Roman" w:cstheme="minorHAnsi"/>
          <w:sz w:val="28"/>
          <w:szCs w:val="28"/>
          <w:lang w:eastAsia="pl-PL"/>
        </w:rPr>
        <w:t>nieruchomości premium. Koszty utrzymania lokalu są wielokrotnie niższe niż w Europie, a podatek od posiadania nieruchomości dla apartamentów to dosłownie kilkaset złotych rocznie.</w:t>
      </w:r>
    </w:p>
    <w:p w14:paraId="04BCDA6E" w14:textId="77777777" w:rsidR="00E9374D" w:rsidRDefault="00E9374D" w:rsidP="00FE3B81">
      <w:pPr>
        <w:spacing w:before="100" w:beforeAutospacing="1" w:after="100" w:afterAutospacing="1" w:line="240" w:lineRule="auto"/>
        <w:rPr>
          <w:rFonts w:eastAsia="Times New Roman" w:cstheme="minorHAnsi"/>
          <w:iCs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 xml:space="preserve">- </w:t>
      </w:r>
      <w:r w:rsidRPr="00FE3B81">
        <w:rPr>
          <w:rFonts w:eastAsia="Times New Roman" w:cstheme="minorHAnsi"/>
          <w:iCs/>
          <w:sz w:val="28"/>
          <w:szCs w:val="28"/>
          <w:lang w:eastAsia="pl-PL"/>
        </w:rPr>
        <w:t>Moja</w:t>
      </w:r>
      <w:r>
        <w:rPr>
          <w:rFonts w:eastAsia="Times New Roman" w:cstheme="minorHAnsi"/>
          <w:iCs/>
          <w:sz w:val="28"/>
          <w:szCs w:val="28"/>
          <w:lang w:eastAsia="pl-PL"/>
        </w:rPr>
        <w:t xml:space="preserve"> rekomendacja? W</w:t>
      </w:r>
      <w:r w:rsidRPr="00FE3B81">
        <w:rPr>
          <w:rFonts w:eastAsia="Times New Roman" w:cstheme="minorHAnsi"/>
          <w:iCs/>
          <w:sz w:val="28"/>
          <w:szCs w:val="28"/>
          <w:lang w:eastAsia="pl-PL"/>
        </w:rPr>
        <w:t>ybierać wyłącznie sprawdzonych deweloperów, korzystać z niezależnej obsługi prawnej i traktować tę inwestycję j</w:t>
      </w:r>
      <w:r>
        <w:rPr>
          <w:rFonts w:eastAsia="Times New Roman" w:cstheme="minorHAnsi"/>
          <w:iCs/>
          <w:sz w:val="28"/>
          <w:szCs w:val="28"/>
          <w:lang w:eastAsia="pl-PL"/>
        </w:rPr>
        <w:t>ako element szerszego portfela – mówi Joanna Ossowska-Rodziewicz.</w:t>
      </w:r>
    </w:p>
    <w:p w14:paraId="5C1451DA" w14:textId="77777777" w:rsidR="00FE3B81" w:rsidRPr="00FE3B81" w:rsidRDefault="00E9374D" w:rsidP="00E9374D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 xml:space="preserve">Przed zakupem </w:t>
      </w:r>
      <w:r w:rsidR="002D5EB9">
        <w:rPr>
          <w:rFonts w:eastAsia="Times New Roman" w:cstheme="minorHAnsi"/>
          <w:sz w:val="28"/>
          <w:szCs w:val="28"/>
          <w:lang w:eastAsia="pl-PL"/>
        </w:rPr>
        <w:t>koniecznie należy sprawdzić</w:t>
      </w:r>
      <w:r>
        <w:rPr>
          <w:rFonts w:eastAsia="Times New Roman" w:cstheme="minorHAnsi"/>
          <w:sz w:val="28"/>
          <w:szCs w:val="28"/>
          <w:lang w:eastAsia="pl-PL"/>
        </w:rPr>
        <w:t>, c</w:t>
      </w:r>
      <w:r w:rsidR="00FE3B81" w:rsidRPr="00FE3B81">
        <w:rPr>
          <w:rFonts w:eastAsia="Times New Roman" w:cstheme="minorHAnsi"/>
          <w:sz w:val="28"/>
          <w:szCs w:val="28"/>
          <w:lang w:eastAsia="pl-PL"/>
        </w:rPr>
        <w:t xml:space="preserve">zy </w:t>
      </w:r>
      <w:r w:rsidR="002D5EB9">
        <w:rPr>
          <w:rFonts w:eastAsia="Times New Roman" w:cstheme="minorHAnsi"/>
          <w:sz w:val="28"/>
          <w:szCs w:val="28"/>
          <w:lang w:eastAsia="pl-PL"/>
        </w:rPr>
        <w:t>nieruchomość</w:t>
      </w:r>
      <w:r w:rsidR="00FE3B81" w:rsidRPr="00FE3B81">
        <w:rPr>
          <w:rFonts w:eastAsia="Times New Roman" w:cstheme="minorHAnsi"/>
          <w:sz w:val="28"/>
          <w:szCs w:val="28"/>
          <w:lang w:eastAsia="pl-PL"/>
        </w:rPr>
        <w:t xml:space="preserve"> posiada licencję hotelową lub inną, </w:t>
      </w:r>
      <w:r>
        <w:rPr>
          <w:rFonts w:eastAsia="Times New Roman" w:cstheme="minorHAnsi"/>
          <w:sz w:val="28"/>
          <w:szCs w:val="28"/>
          <w:lang w:eastAsia="pl-PL"/>
        </w:rPr>
        <w:t>która uprawnia</w:t>
      </w:r>
      <w:r w:rsidR="00FE3B81" w:rsidRPr="00FE3B81">
        <w:rPr>
          <w:rFonts w:eastAsia="Times New Roman" w:cstheme="minorHAnsi"/>
          <w:sz w:val="28"/>
          <w:szCs w:val="28"/>
          <w:lang w:eastAsia="pl-PL"/>
        </w:rPr>
        <w:t xml:space="preserve"> do świadczenia usług kr</w:t>
      </w:r>
      <w:r>
        <w:rPr>
          <w:rFonts w:eastAsia="Times New Roman" w:cstheme="minorHAnsi"/>
          <w:sz w:val="28"/>
          <w:szCs w:val="28"/>
          <w:lang w:eastAsia="pl-PL"/>
        </w:rPr>
        <w:t>ótkoterminowego zakwaterowania</w:t>
      </w:r>
      <w:r w:rsidR="002D5EB9">
        <w:rPr>
          <w:rFonts w:eastAsia="Times New Roman" w:cstheme="minorHAnsi"/>
          <w:sz w:val="28"/>
          <w:szCs w:val="28"/>
          <w:lang w:eastAsia="pl-PL"/>
        </w:rPr>
        <w:t xml:space="preserve"> oraz jaka jest forma jej</w:t>
      </w:r>
      <w:r>
        <w:rPr>
          <w:rFonts w:eastAsia="Times New Roman" w:cstheme="minorHAnsi"/>
          <w:sz w:val="28"/>
          <w:szCs w:val="28"/>
          <w:lang w:eastAsia="pl-PL"/>
        </w:rPr>
        <w:t xml:space="preserve"> własności. </w:t>
      </w:r>
      <w:r w:rsidR="00FE3B81" w:rsidRPr="00FE3B81">
        <w:rPr>
          <w:rFonts w:eastAsia="Times New Roman" w:cstheme="minorHAnsi"/>
          <w:sz w:val="28"/>
          <w:szCs w:val="28"/>
          <w:lang w:eastAsia="pl-PL"/>
        </w:rPr>
        <w:t xml:space="preserve">Cudzoziemcy mogą nabyć </w:t>
      </w:r>
      <w:r>
        <w:rPr>
          <w:rFonts w:eastAsia="Times New Roman" w:cstheme="minorHAnsi"/>
          <w:sz w:val="28"/>
          <w:szCs w:val="28"/>
          <w:lang w:eastAsia="pl-PL"/>
        </w:rPr>
        <w:t>nieruchomość</w:t>
      </w:r>
      <w:r w:rsidR="00FE3B81" w:rsidRPr="00FE3B81">
        <w:rPr>
          <w:rFonts w:eastAsia="Times New Roman" w:cstheme="minorHAnsi"/>
          <w:sz w:val="28"/>
          <w:szCs w:val="28"/>
          <w:lang w:eastAsia="pl-PL"/>
        </w:rPr>
        <w:t xml:space="preserve"> na pełną własność </w:t>
      </w:r>
      <w:r>
        <w:rPr>
          <w:rFonts w:eastAsia="Times New Roman" w:cstheme="minorHAnsi"/>
          <w:sz w:val="28"/>
          <w:szCs w:val="28"/>
          <w:lang w:eastAsia="pl-PL"/>
        </w:rPr>
        <w:t>(freehold) jedynie do 49 proc.</w:t>
      </w:r>
      <w:r w:rsidR="00FE3B81" w:rsidRPr="00FE3B81">
        <w:rPr>
          <w:rFonts w:eastAsia="Times New Roman" w:cstheme="minorHAnsi"/>
          <w:sz w:val="28"/>
          <w:szCs w:val="28"/>
          <w:lang w:eastAsia="pl-PL"/>
        </w:rPr>
        <w:t xml:space="preserve"> powierzchni budynku. W przypadku willi dostępny jest wyłącznie leasehold — dzierżawa na 30 lat z możliwością przedłużenia do 90 lat. </w:t>
      </w:r>
    </w:p>
    <w:p w14:paraId="1294F243" w14:textId="77777777" w:rsidR="000D369A" w:rsidRPr="0002239E" w:rsidRDefault="000D369A">
      <w:pPr>
        <w:rPr>
          <w:rFonts w:cstheme="minorHAnsi"/>
          <w:sz w:val="28"/>
          <w:szCs w:val="28"/>
        </w:rPr>
      </w:pPr>
    </w:p>
    <w:sectPr w:rsidR="000D369A" w:rsidRPr="000223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EDC8524" w16cex:dateUtc="2026-05-20T09:38:00Z"/>
  <w16cex:commentExtensible w16cex:durableId="71D3312E" w16cex:dateUtc="2026-05-20T09:40:00Z"/>
  <w16cex:commentExtensible w16cex:durableId="03B2734A" w16cex:dateUtc="2026-05-20T09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BE97D9A" w16cid:durableId="0EDC8524"/>
  <w16cid:commentId w16cid:paraId="46029E55" w16cid:durableId="71D3312E"/>
  <w16cid:commentId w16cid:paraId="1B6CC6BC" w16cid:durableId="03B2734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B81"/>
    <w:rsid w:val="0002239E"/>
    <w:rsid w:val="000D369A"/>
    <w:rsid w:val="001208D5"/>
    <w:rsid w:val="002C1CF7"/>
    <w:rsid w:val="002D5EB9"/>
    <w:rsid w:val="004D70E2"/>
    <w:rsid w:val="00995282"/>
    <w:rsid w:val="009C4C2B"/>
    <w:rsid w:val="00A248B1"/>
    <w:rsid w:val="00E9374D"/>
    <w:rsid w:val="00FE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20D3A"/>
  <w15:chartTrackingRefBased/>
  <w15:docId w15:val="{7954516F-FED0-43C1-883B-635BB6DC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208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08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08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08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08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4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4C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6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466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4</cp:revision>
  <dcterms:created xsi:type="dcterms:W3CDTF">2026-05-20T09:42:00Z</dcterms:created>
  <dcterms:modified xsi:type="dcterms:W3CDTF">2026-05-26T08:02:00Z</dcterms:modified>
</cp:coreProperties>
</file>