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8C58" w14:textId="1B98E0F1" w:rsidR="00265885" w:rsidRDefault="00265885" w:rsidP="0026588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sz w:val="22"/>
          <w:szCs w:val="22"/>
        </w:rPr>
        <w:t>Warszawa | 24 marca 2026 r.</w:t>
      </w:r>
    </w:p>
    <w:p w14:paraId="2397D307" w14:textId="414D9B88" w:rsidR="00796313" w:rsidRPr="00265885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sz w:val="22"/>
          <w:szCs w:val="22"/>
        </w:rPr>
        <w:t>Informacja prasowa</w:t>
      </w:r>
      <w:r w:rsidRPr="00265885">
        <w:rPr>
          <w:rFonts w:ascii="Calibri" w:hAnsi="Calibri" w:cs="Calibri"/>
          <w:sz w:val="22"/>
          <w:szCs w:val="22"/>
        </w:rPr>
        <w:tab/>
      </w:r>
      <w:r w:rsidRPr="00265885">
        <w:rPr>
          <w:rFonts w:ascii="Calibri" w:hAnsi="Calibri" w:cs="Calibri"/>
          <w:sz w:val="22"/>
          <w:szCs w:val="22"/>
        </w:rPr>
        <w:tab/>
      </w:r>
      <w:r w:rsidRPr="00265885">
        <w:rPr>
          <w:rFonts w:ascii="Calibri" w:hAnsi="Calibri" w:cs="Calibri"/>
          <w:sz w:val="22"/>
          <w:szCs w:val="22"/>
        </w:rPr>
        <w:tab/>
      </w:r>
      <w:r w:rsidRPr="00265885">
        <w:rPr>
          <w:rFonts w:ascii="Calibri" w:hAnsi="Calibri" w:cs="Calibri"/>
          <w:sz w:val="22"/>
          <w:szCs w:val="22"/>
        </w:rPr>
        <w:tab/>
      </w:r>
      <w:r w:rsidRPr="00265885">
        <w:rPr>
          <w:rFonts w:ascii="Calibri" w:hAnsi="Calibri" w:cs="Calibri"/>
          <w:sz w:val="22"/>
          <w:szCs w:val="22"/>
        </w:rPr>
        <w:tab/>
        <w:t xml:space="preserve">    </w:t>
      </w:r>
      <w:r w:rsidRPr="00265885">
        <w:rPr>
          <w:rFonts w:ascii="Calibri" w:hAnsi="Calibri" w:cs="Calibri"/>
          <w:sz w:val="22"/>
          <w:szCs w:val="22"/>
        </w:rPr>
        <w:tab/>
        <w:t xml:space="preserve">    </w:t>
      </w:r>
      <w:r w:rsidR="00CB51A1" w:rsidRPr="00265885">
        <w:rPr>
          <w:rFonts w:ascii="Calibri" w:hAnsi="Calibri" w:cs="Calibri"/>
          <w:sz w:val="22"/>
          <w:szCs w:val="22"/>
        </w:rPr>
        <w:t xml:space="preserve">  </w:t>
      </w:r>
    </w:p>
    <w:p w14:paraId="12878285" w14:textId="77777777" w:rsidR="00796313" w:rsidRPr="00265885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3A6ED06" w14:textId="77777777" w:rsidR="00796313" w:rsidRPr="00265885" w:rsidRDefault="00796313" w:rsidP="0079631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64D07B" w14:textId="24AADC10" w:rsidR="001A7D91" w:rsidRPr="00265885" w:rsidRDefault="001A7D91" w:rsidP="001A7D91">
      <w:pPr>
        <w:spacing w:line="276" w:lineRule="auto"/>
        <w:rPr>
          <w:rFonts w:ascii="Calibri" w:hAnsi="Calibri" w:cs="Calibri"/>
        </w:rPr>
      </w:pPr>
      <w:r w:rsidRPr="00265885">
        <w:rPr>
          <w:rFonts w:ascii="Calibri" w:hAnsi="Calibri" w:cs="Calibri"/>
          <w:b/>
          <w:bCs/>
        </w:rPr>
        <w:t xml:space="preserve">PEVO Index | Już prawie 1,5 tys. punktów ładowania wzdłuż sieci TEN-T w Polsce </w:t>
      </w:r>
    </w:p>
    <w:p w14:paraId="349ECEA2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B69EF6C" w14:textId="77777777" w:rsidR="001A7D91" w:rsidRPr="00265885" w:rsidRDefault="001A7D91" w:rsidP="001A7D91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b/>
          <w:bCs/>
          <w:sz w:val="22"/>
          <w:szCs w:val="22"/>
        </w:rPr>
        <w:t>Na koniec lutego 2026 r. łączna liczba zarejestrowanych w Polsce samochodów całkowicie elektrycznych (BEV) wynosiła 136 643 szt. Udział BEV na rynku nowych samochodów osobowych wyniósł w lutym ok. 4%.</w:t>
      </w:r>
    </w:p>
    <w:p w14:paraId="3A12E285" w14:textId="49C90EBB" w:rsidR="001A7D91" w:rsidRPr="00265885" w:rsidRDefault="001A7D91" w:rsidP="001A7D91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b/>
          <w:bCs/>
          <w:sz w:val="22"/>
          <w:szCs w:val="22"/>
        </w:rPr>
        <w:t>Liczba ogólnodostępnych punktów ładowania w ubiegłym miesiącu wzrosła do 12 311, z czego 5 795 (47%) stanowiły punkty DC</w:t>
      </w:r>
      <w:r w:rsidR="00265885" w:rsidRPr="00265885">
        <w:rPr>
          <w:rFonts w:ascii="Calibri" w:hAnsi="Calibri" w:cs="Calibri"/>
          <w:b/>
          <w:bCs/>
          <w:sz w:val="22"/>
          <w:szCs w:val="22"/>
        </w:rPr>
        <w:t>.</w:t>
      </w:r>
    </w:p>
    <w:p w14:paraId="0188CB75" w14:textId="4146E943" w:rsidR="001A7D91" w:rsidRPr="00265885" w:rsidRDefault="001A7D91" w:rsidP="001A7D91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b/>
          <w:bCs/>
          <w:sz w:val="22"/>
          <w:szCs w:val="22"/>
        </w:rPr>
        <w:t>W lutym 2026 r. udział ogłoszeń BEV w łącznej liczbie ofert pojazdów używanych na portalu OTOMOTO wyniósł 1,1%</w:t>
      </w:r>
      <w:r w:rsidR="00265885" w:rsidRPr="00265885">
        <w:rPr>
          <w:rFonts w:ascii="Calibri" w:hAnsi="Calibri" w:cs="Calibri"/>
          <w:b/>
          <w:bCs/>
          <w:sz w:val="22"/>
          <w:szCs w:val="22"/>
        </w:rPr>
        <w:t>.</w:t>
      </w:r>
    </w:p>
    <w:p w14:paraId="77F1F163" w14:textId="586F7433" w:rsidR="001A7D91" w:rsidRPr="00265885" w:rsidRDefault="001A7D91" w:rsidP="001A7D91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proofErr w:type="spellStart"/>
      <w:r w:rsidRPr="00265885">
        <w:rPr>
          <w:rFonts w:ascii="Calibri" w:hAnsi="Calibri" w:cs="Calibri"/>
          <w:b/>
          <w:bCs/>
          <w:sz w:val="22"/>
          <w:szCs w:val="22"/>
        </w:rPr>
        <w:t>Polish</w:t>
      </w:r>
      <w:proofErr w:type="spellEnd"/>
      <w:r w:rsidRPr="00265885">
        <w:rPr>
          <w:rFonts w:ascii="Calibri" w:hAnsi="Calibri" w:cs="Calibri"/>
          <w:b/>
          <w:bCs/>
          <w:sz w:val="22"/>
          <w:szCs w:val="22"/>
        </w:rPr>
        <w:t xml:space="preserve"> EV Outlook Index (PEVO Index) to comiesięczne zestawienie kluczowych danych i statystyk sektora e-</w:t>
      </w:r>
      <w:proofErr w:type="spellStart"/>
      <w:r w:rsidRPr="00265885">
        <w:rPr>
          <w:rFonts w:ascii="Calibri" w:hAnsi="Calibri" w:cs="Calibri"/>
          <w:b/>
          <w:bCs/>
          <w:sz w:val="22"/>
          <w:szCs w:val="22"/>
        </w:rPr>
        <w:t>mobility</w:t>
      </w:r>
      <w:proofErr w:type="spellEnd"/>
      <w:r w:rsidRPr="00265885">
        <w:rPr>
          <w:rFonts w:ascii="Calibri" w:hAnsi="Calibri" w:cs="Calibri"/>
          <w:b/>
          <w:bCs/>
          <w:sz w:val="22"/>
          <w:szCs w:val="22"/>
        </w:rPr>
        <w:t xml:space="preserve"> w Polsce</w:t>
      </w:r>
      <w:r w:rsidR="00265885" w:rsidRPr="00265885">
        <w:rPr>
          <w:rFonts w:ascii="Calibri" w:hAnsi="Calibri" w:cs="Calibri"/>
          <w:b/>
          <w:bCs/>
          <w:sz w:val="22"/>
          <w:szCs w:val="22"/>
        </w:rPr>
        <w:t>.</w:t>
      </w:r>
    </w:p>
    <w:p w14:paraId="17C6516A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66ECCA2" w14:textId="46C99F98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b/>
          <w:bCs/>
          <w:sz w:val="22"/>
          <w:szCs w:val="22"/>
        </w:rPr>
        <w:t>Samochody elektryczne</w:t>
      </w:r>
    </w:p>
    <w:p w14:paraId="53AD368C" w14:textId="3B2A53D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sz w:val="22"/>
          <w:szCs w:val="22"/>
        </w:rPr>
        <w:t>Na koniec lutego 2026 r. flota osobowych, dostawczych i ciężarowych samochodów całkowicie elektrycznych (BEV) w Polsce liczyła 136 643 szt. Park osobowych BEV składał się z 127 516 szt. (+69% r/r), a liczba rejestracji nowych pojazdów tego typu wyniosła 1 853 szt. (</w:t>
      </w:r>
      <w:r w:rsidR="00265885" w:rsidRPr="00265885">
        <w:rPr>
          <w:rFonts w:ascii="Calibri" w:hAnsi="Calibri" w:cs="Calibri"/>
          <w:sz w:val="22"/>
          <w:szCs w:val="22"/>
        </w:rPr>
        <w:t>+</w:t>
      </w:r>
      <w:r w:rsidRPr="00265885">
        <w:rPr>
          <w:rFonts w:ascii="Calibri" w:hAnsi="Calibri" w:cs="Calibri"/>
          <w:sz w:val="22"/>
          <w:szCs w:val="22"/>
        </w:rPr>
        <w:t xml:space="preserve"> 11% </w:t>
      </w:r>
      <w:r w:rsidR="00265885" w:rsidRPr="00265885">
        <w:rPr>
          <w:rFonts w:ascii="Calibri" w:hAnsi="Calibri" w:cs="Calibri"/>
          <w:sz w:val="22"/>
          <w:szCs w:val="22"/>
        </w:rPr>
        <w:t>r/r</w:t>
      </w:r>
      <w:r w:rsidRPr="00265885">
        <w:rPr>
          <w:rFonts w:ascii="Calibri" w:hAnsi="Calibri" w:cs="Calibri"/>
          <w:sz w:val="22"/>
          <w:szCs w:val="22"/>
        </w:rPr>
        <w:t>). Na koniec lutego 2026 r. flota całkowicie elektrycznych samochodów dostawczych i ciężarowych zwiększyła się do 11 623 szt. (+40% r/r). Park osobowych, wodorowych FCEV liczył 556 szt. (+73% r/r). Najpopularniejszymi, nowymi osobowymi modelami BEV w lutym 2026 r. były BMW X2 (140 szt.), BMW X1 (134 szt.) oraz Volvo EX30 (109 szt.). Na podium wśród marek znalazły się BMW, Tesla oraz Mercedes-Benz. Udział BEV na rynku nowych samochodów osobowych w lutym 2026 r. wyniósł 3,9%</w:t>
      </w:r>
      <w:r w:rsidR="00265885" w:rsidRPr="00265885">
        <w:rPr>
          <w:rFonts w:ascii="Calibri" w:hAnsi="Calibri" w:cs="Calibri"/>
          <w:sz w:val="22"/>
          <w:szCs w:val="22"/>
        </w:rPr>
        <w:t>.</w:t>
      </w:r>
    </w:p>
    <w:p w14:paraId="37126E94" w14:textId="77777777" w:rsidR="001A7D91" w:rsidRPr="00265885" w:rsidRDefault="001A7D91" w:rsidP="001A7D9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36B026F" w14:textId="61DF29F5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b/>
          <w:bCs/>
          <w:sz w:val="22"/>
          <w:szCs w:val="22"/>
        </w:rPr>
        <w:t>Infrastruktura ładowania</w:t>
      </w:r>
    </w:p>
    <w:p w14:paraId="0B4915F3" w14:textId="49598773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sz w:val="22"/>
          <w:szCs w:val="22"/>
        </w:rPr>
        <w:t>W Polsce na koniec lutego 2026 r. funkcjonowało 12 311 ogólnodostępnych punktów ładowania, w tym 6 516 AC (53%) oraz 5 795 DC (47</w:t>
      </w:r>
      <w:proofErr w:type="gramStart"/>
      <w:r w:rsidRPr="00265885">
        <w:rPr>
          <w:rFonts w:ascii="Calibri" w:hAnsi="Calibri" w:cs="Calibri"/>
          <w:sz w:val="22"/>
          <w:szCs w:val="22"/>
        </w:rPr>
        <w:t>%)*</w:t>
      </w:r>
      <w:proofErr w:type="gramEnd"/>
      <w:r w:rsidRPr="00265885">
        <w:rPr>
          <w:rFonts w:ascii="Calibri" w:hAnsi="Calibri" w:cs="Calibri"/>
          <w:sz w:val="22"/>
          <w:szCs w:val="22"/>
        </w:rPr>
        <w:t>. Wzdłuż sieci TEN-T były dostępne 1</w:t>
      </w:r>
      <w:r w:rsidR="00265885" w:rsidRPr="00265885">
        <w:rPr>
          <w:rFonts w:ascii="Calibri" w:hAnsi="Calibri" w:cs="Calibri"/>
          <w:sz w:val="22"/>
          <w:szCs w:val="22"/>
        </w:rPr>
        <w:t xml:space="preserve"> </w:t>
      </w:r>
      <w:r w:rsidRPr="00265885">
        <w:rPr>
          <w:rFonts w:ascii="Calibri" w:hAnsi="Calibri" w:cs="Calibri"/>
          <w:sz w:val="22"/>
          <w:szCs w:val="22"/>
        </w:rPr>
        <w:t>484 punkty ładowania. „PEVO Index” zawiera ponadto informacje na temat miast o najlepiej rozwiniętej infrastrukturze dla pojazdów zeroemisyjnych. Pierwsza jest Warszawa (892 punkty w lutym 2026 r.), a kolejne miejsca zajmują Gdańsk (405), Poznań (385), Kraków (364) oraz Szczecin (328).</w:t>
      </w:r>
    </w:p>
    <w:p w14:paraId="0DDBB28B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35B633B" w14:textId="0AAE32C1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b/>
          <w:bCs/>
          <w:sz w:val="22"/>
          <w:szCs w:val="22"/>
        </w:rPr>
        <w:t>Rynek zeroemisyjnych pojazdów używanych</w:t>
      </w:r>
    </w:p>
    <w:p w14:paraId="73FAAC51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sz w:val="22"/>
          <w:szCs w:val="22"/>
        </w:rPr>
        <w:t>„PEVO Index” obejmuje również dane na temat oferty na rynku wtórnym elektromobilności w Polsce. Pod koniec lutego 2026 r. liczba ogłoszeń używanych BEV na portalu OTOMOTO wynosiła 3 485. To spadek o 20% r/r. Udział ogłoszeń samochodów całkowicie elektrycznych w łącznej liczbie ogłoszeń pojazdów używanych wyniósł 1,1%. Takie oferty odpowiadały w lutym za 1,2% wszystkich odsłon ogłoszeń na portalu OTOMOTO. Najpopularniejszymi pod względem podaży modelami BEV na wtórnym rynku e-</w:t>
      </w:r>
      <w:proofErr w:type="spellStart"/>
      <w:r w:rsidRPr="00265885">
        <w:rPr>
          <w:rFonts w:ascii="Calibri" w:hAnsi="Calibri" w:cs="Calibri"/>
          <w:sz w:val="22"/>
          <w:szCs w:val="22"/>
        </w:rPr>
        <w:t>mobility</w:t>
      </w:r>
      <w:proofErr w:type="spellEnd"/>
      <w:r w:rsidRPr="00265885">
        <w:rPr>
          <w:rFonts w:ascii="Calibri" w:hAnsi="Calibri" w:cs="Calibri"/>
          <w:sz w:val="22"/>
          <w:szCs w:val="22"/>
        </w:rPr>
        <w:t xml:space="preserve"> w Polsce były Tesla Model 3 (196 ogłoszeń w lutym 2026 r. ze średnią ceną 106 351 PLN), Nissan </w:t>
      </w:r>
      <w:proofErr w:type="spellStart"/>
      <w:r w:rsidRPr="00265885">
        <w:rPr>
          <w:rFonts w:ascii="Calibri" w:hAnsi="Calibri" w:cs="Calibri"/>
          <w:sz w:val="22"/>
          <w:szCs w:val="22"/>
        </w:rPr>
        <w:t>Leaf</w:t>
      </w:r>
      <w:proofErr w:type="spellEnd"/>
      <w:r w:rsidRPr="00265885">
        <w:rPr>
          <w:rFonts w:ascii="Calibri" w:hAnsi="Calibri" w:cs="Calibri"/>
          <w:sz w:val="22"/>
          <w:szCs w:val="22"/>
        </w:rPr>
        <w:t xml:space="preserve"> (138 ogłoszeń ze średnią ceną 54 326 PLN) oraz Tesla Model S (124 ogłoszenia ze średnią ceną 138 120 PLN).   </w:t>
      </w:r>
    </w:p>
    <w:p w14:paraId="20F2AFEF" w14:textId="3B4BAF0D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i/>
          <w:iCs/>
          <w:sz w:val="22"/>
          <w:szCs w:val="22"/>
        </w:rPr>
        <w:br/>
      </w:r>
      <w:r w:rsidRPr="00265885">
        <w:rPr>
          <w:rFonts w:ascii="Calibri" w:hAnsi="Calibri" w:cs="Calibri"/>
          <w:sz w:val="22"/>
          <w:szCs w:val="22"/>
        </w:rPr>
        <w:t>„</w:t>
      </w:r>
      <w:proofErr w:type="spellStart"/>
      <w:r w:rsidRPr="00265885">
        <w:rPr>
          <w:rFonts w:ascii="Calibri" w:hAnsi="Calibri" w:cs="Calibri"/>
          <w:sz w:val="22"/>
          <w:szCs w:val="22"/>
        </w:rPr>
        <w:t>Polish</w:t>
      </w:r>
      <w:proofErr w:type="spellEnd"/>
      <w:r w:rsidRPr="00265885">
        <w:rPr>
          <w:rFonts w:ascii="Calibri" w:hAnsi="Calibri" w:cs="Calibri"/>
          <w:sz w:val="22"/>
          <w:szCs w:val="22"/>
        </w:rPr>
        <w:t xml:space="preserve"> EV Outlook” to najważniejsza, najbardziej kompleksowa analiza rynku zeroemisyjnego </w:t>
      </w:r>
      <w:r w:rsidRPr="00265885">
        <w:rPr>
          <w:rFonts w:ascii="Calibri" w:hAnsi="Calibri" w:cs="Calibri"/>
          <w:sz w:val="22"/>
          <w:szCs w:val="22"/>
        </w:rPr>
        <w:lastRenderedPageBreak/>
        <w:t>transportu w Polsce. PSNM od 7 lat prezentuje w swoim raporcie przekrojowy obraz rynku osobowych, dostawczych i ciężarowych samochodów elektrycznych, infrastruktury ładowania, struktury nabywców EV, zmian legislacyjnych oraz wpływu e-</w:t>
      </w:r>
      <w:proofErr w:type="spellStart"/>
      <w:r w:rsidRPr="00265885">
        <w:rPr>
          <w:rFonts w:ascii="Calibri" w:hAnsi="Calibri" w:cs="Calibri"/>
          <w:sz w:val="22"/>
          <w:szCs w:val="22"/>
        </w:rPr>
        <w:t>mobility</w:t>
      </w:r>
      <w:proofErr w:type="spellEnd"/>
      <w:r w:rsidRPr="00265885">
        <w:rPr>
          <w:rFonts w:ascii="Calibri" w:hAnsi="Calibri" w:cs="Calibri"/>
          <w:sz w:val="22"/>
          <w:szCs w:val="22"/>
        </w:rPr>
        <w:t xml:space="preserve"> na sektor elektroenergetyczny. „PEVO Index” to cykliczna, udostępniana co miesiąc wersja „</w:t>
      </w:r>
      <w:proofErr w:type="spellStart"/>
      <w:r w:rsidRPr="00265885">
        <w:rPr>
          <w:rFonts w:ascii="Calibri" w:hAnsi="Calibri" w:cs="Calibri"/>
          <w:sz w:val="22"/>
          <w:szCs w:val="22"/>
        </w:rPr>
        <w:t>Polish</w:t>
      </w:r>
      <w:proofErr w:type="spellEnd"/>
      <w:r w:rsidRPr="00265885">
        <w:rPr>
          <w:rFonts w:ascii="Calibri" w:hAnsi="Calibri" w:cs="Calibri"/>
          <w:sz w:val="22"/>
          <w:szCs w:val="22"/>
        </w:rPr>
        <w:t xml:space="preserve"> EV Outlook” zawierająca aktualizowane na bieżąco, kluczowe dane zawarte w pełnej wersji raportu, prezentowane w przystępnej, </w:t>
      </w:r>
      <w:proofErr w:type="spellStart"/>
      <w:r w:rsidRPr="00265885">
        <w:rPr>
          <w:rFonts w:ascii="Calibri" w:hAnsi="Calibri" w:cs="Calibri"/>
          <w:sz w:val="22"/>
          <w:szCs w:val="22"/>
        </w:rPr>
        <w:t>infograficznej</w:t>
      </w:r>
      <w:proofErr w:type="spellEnd"/>
      <w:r w:rsidRPr="00265885">
        <w:rPr>
          <w:rFonts w:ascii="Calibri" w:hAnsi="Calibri" w:cs="Calibri"/>
          <w:sz w:val="22"/>
          <w:szCs w:val="22"/>
        </w:rPr>
        <w:t xml:space="preserve"> formie.</w:t>
      </w:r>
    </w:p>
    <w:p w14:paraId="19541FFF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B5C27A4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sz w:val="22"/>
          <w:szCs w:val="22"/>
        </w:rPr>
        <w:t>Dane do „PEVO Index” dostarczają: PSNM, F5A, IBRM Samar oraz OTOMOTO.</w:t>
      </w:r>
    </w:p>
    <w:p w14:paraId="2969ACA6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6112FA0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r w:rsidRPr="00265885">
        <w:rPr>
          <w:rFonts w:ascii="Calibri" w:hAnsi="Calibri" w:cs="Calibri"/>
          <w:sz w:val="22"/>
          <w:szCs w:val="22"/>
        </w:rPr>
        <w:t>Więcej informacji o pełnej wersji raportu „</w:t>
      </w:r>
      <w:proofErr w:type="spellStart"/>
      <w:r w:rsidRPr="00265885">
        <w:rPr>
          <w:rFonts w:ascii="Calibri" w:hAnsi="Calibri" w:cs="Calibri"/>
          <w:sz w:val="22"/>
          <w:szCs w:val="22"/>
        </w:rPr>
        <w:t>Polish</w:t>
      </w:r>
      <w:proofErr w:type="spellEnd"/>
      <w:r w:rsidRPr="00265885">
        <w:rPr>
          <w:rFonts w:ascii="Calibri" w:hAnsi="Calibri" w:cs="Calibri"/>
          <w:sz w:val="22"/>
          <w:szCs w:val="22"/>
        </w:rPr>
        <w:t xml:space="preserve"> EV Outlook” dostępnych jest na stronie:</w:t>
      </w:r>
    </w:p>
    <w:p w14:paraId="6C5CE65D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  <w:hyperlink r:id="rId7" w:history="1">
        <w:r w:rsidRPr="00265885">
          <w:rPr>
            <w:rStyle w:val="Hipercze"/>
            <w:rFonts w:ascii="Calibri" w:hAnsi="Calibri" w:cs="Calibri"/>
            <w:sz w:val="22"/>
            <w:szCs w:val="22"/>
          </w:rPr>
          <w:t>https://polishevoutlook.pl/</w:t>
        </w:r>
      </w:hyperlink>
    </w:p>
    <w:p w14:paraId="42FE6470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45FF0D5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FA6F48B" w14:textId="77777777" w:rsidR="001A7D91" w:rsidRPr="00265885" w:rsidRDefault="001A7D91" w:rsidP="001A7D91">
      <w:pPr>
        <w:spacing w:line="276" w:lineRule="auto"/>
        <w:rPr>
          <w:rFonts w:ascii="Calibri" w:hAnsi="Calibri" w:cs="Calibri"/>
          <w:sz w:val="20"/>
          <w:szCs w:val="20"/>
        </w:rPr>
      </w:pPr>
      <w:r w:rsidRPr="00265885">
        <w:rPr>
          <w:rFonts w:ascii="Calibri" w:hAnsi="Calibri" w:cs="Calibri"/>
          <w:sz w:val="20"/>
          <w:szCs w:val="20"/>
        </w:rPr>
        <w:t>*Od stycznia 2026 r. w „PEVO Index” zaktualizowano metodologię klasyfikowania punktów ładowania AC i DC w stacjach posiadających więcej niż jeden punkt ładowania. Poprzednio, stacje wyposażone w dwa złącza DC oraz jedno złącze AC, ale umożliwiające równoległe ładowanie wyłącznie dwóch samochodów elektrycznych były raportowane jako posiadające jeden punkt AC i jeden punkt DC. Od 2026 r. przyjęto zasadę nadrzędności punktu o wyższej mocy. W konsekwencji, stacje o ww. konfiguracji złączy na potrzeby „PEVO Index” są postrzegane jako posiadające wyłącznie dwa punkty DC. Oznacza to zmianę struktury raportowanych punktów AC i DC. Zastosowanie nowej metodologii w „PEVO Index” poskutkowało wzrostem udziału punktów DC i spadkiem udziału punktów AC, co jednak dokładniej odzwierciedla najczęstszą praktykę korzystania z infrastruktury ładowania (tj. zdecydowanie częstsze wykorzystywanie punktów DC).</w:t>
      </w:r>
    </w:p>
    <w:p w14:paraId="73E4A7F5" w14:textId="77777777" w:rsidR="00265885" w:rsidRDefault="00265885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E712440" w14:textId="51BFB104" w:rsidR="00265885" w:rsidRDefault="00265885" w:rsidP="001A7D9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</w:t>
      </w:r>
    </w:p>
    <w:p w14:paraId="36048356" w14:textId="77777777" w:rsidR="00265885" w:rsidRDefault="00265885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5B098C" w14:textId="063F2DE5" w:rsidR="00265885" w:rsidRDefault="00265885" w:rsidP="001A7D9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Kontakt:</w:t>
      </w:r>
    </w:p>
    <w:p w14:paraId="115C869C" w14:textId="25A4D448" w:rsidR="00265885" w:rsidRDefault="00265885" w:rsidP="001A7D9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Biuro F5A </w:t>
      </w:r>
    </w:p>
    <w:p w14:paraId="6F4D3BC5" w14:textId="1D2AE33E" w:rsidR="00265885" w:rsidRDefault="00265885" w:rsidP="001A7D9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M: </w:t>
      </w:r>
      <w:hyperlink r:id="rId8" w:history="1">
        <w:r w:rsidRPr="003454CC">
          <w:rPr>
            <w:rStyle w:val="Hipercze"/>
            <w:rFonts w:ascii="Calibri" w:hAnsi="Calibri" w:cs="Calibri"/>
            <w:sz w:val="22"/>
            <w:szCs w:val="22"/>
          </w:rPr>
          <w:t>biuro@f5a.eu</w:t>
        </w:r>
      </w:hyperlink>
      <w:r>
        <w:rPr>
          <w:rFonts w:ascii="Calibri" w:hAnsi="Calibri" w:cs="Calibri"/>
          <w:sz w:val="22"/>
          <w:szCs w:val="22"/>
        </w:rPr>
        <w:t xml:space="preserve">; T: </w:t>
      </w:r>
      <w:r w:rsidRPr="00265885">
        <w:rPr>
          <w:rFonts w:ascii="Calibri" w:hAnsi="Calibri" w:cs="Calibri"/>
          <w:sz w:val="22"/>
          <w:szCs w:val="22"/>
        </w:rPr>
        <w:t>+48 663 902 790</w:t>
      </w:r>
    </w:p>
    <w:p w14:paraId="073A1CF2" w14:textId="77777777" w:rsidR="00265885" w:rsidRPr="00265885" w:rsidRDefault="00265885" w:rsidP="001A7D9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7CBB85D" w14:textId="47690955" w:rsidR="0033309B" w:rsidRPr="00265885" w:rsidRDefault="0033309B" w:rsidP="007E31F4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33309B" w:rsidRPr="00265885" w:rsidSect="006A7654">
      <w:headerReference w:type="default" r:id="rId9"/>
      <w:footerReference w:type="default" r:id="rId10"/>
      <w:pgSz w:w="11906" w:h="16838"/>
      <w:pgMar w:top="1641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53F1" w14:textId="77777777" w:rsidR="00F85FB9" w:rsidRDefault="00F85FB9" w:rsidP="00F619E4">
      <w:r>
        <w:separator/>
      </w:r>
    </w:p>
  </w:endnote>
  <w:endnote w:type="continuationSeparator" w:id="0">
    <w:p w14:paraId="230AA8AE" w14:textId="77777777" w:rsidR="00F85FB9" w:rsidRDefault="00F85FB9" w:rsidP="00F6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4EB4" w14:textId="06D416BD" w:rsidR="00F619E4" w:rsidRDefault="00192009">
    <w:pPr>
      <w:pStyle w:val="Stopka"/>
    </w:pPr>
    <w:r w:rsidRPr="00192009">
      <w:rPr>
        <w:noProof/>
      </w:rPr>
      <w:drawing>
        <wp:anchor distT="0" distB="0" distL="114300" distR="114300" simplePos="0" relativeHeight="251657215" behindDoc="0" locked="0" layoutInCell="1" allowOverlap="1" wp14:anchorId="5AC6672B" wp14:editId="3B59620C">
          <wp:simplePos x="0" y="0"/>
          <wp:positionH relativeFrom="column">
            <wp:posOffset>-418102</wp:posOffset>
          </wp:positionH>
          <wp:positionV relativeFrom="paragraph">
            <wp:posOffset>124494</wp:posOffset>
          </wp:positionV>
          <wp:extent cx="6624000" cy="209308"/>
          <wp:effectExtent l="0" t="0" r="0" b="0"/>
          <wp:wrapNone/>
          <wp:docPr id="8134167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41673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209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DC72" w14:textId="77777777" w:rsidR="00F85FB9" w:rsidRDefault="00F85FB9" w:rsidP="00F619E4">
      <w:r>
        <w:separator/>
      </w:r>
    </w:p>
  </w:footnote>
  <w:footnote w:type="continuationSeparator" w:id="0">
    <w:p w14:paraId="71819669" w14:textId="77777777" w:rsidR="00F85FB9" w:rsidRDefault="00F85FB9" w:rsidP="00F6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81CE" w14:textId="611C7CA5" w:rsidR="00F619E4" w:rsidRDefault="00F619E4">
    <w:pPr>
      <w:pStyle w:val="Nagwek"/>
    </w:pPr>
    <w:r w:rsidRPr="00F619E4">
      <w:rPr>
        <w:noProof/>
      </w:rPr>
      <w:drawing>
        <wp:anchor distT="0" distB="0" distL="114300" distR="114300" simplePos="0" relativeHeight="251658240" behindDoc="0" locked="0" layoutInCell="1" allowOverlap="1" wp14:anchorId="1CE6BDE7" wp14:editId="46925D9B">
          <wp:simplePos x="0" y="0"/>
          <wp:positionH relativeFrom="margin">
            <wp:posOffset>-415290</wp:posOffset>
          </wp:positionH>
          <wp:positionV relativeFrom="paragraph">
            <wp:posOffset>-131354</wp:posOffset>
          </wp:positionV>
          <wp:extent cx="6590654" cy="342900"/>
          <wp:effectExtent l="0" t="0" r="1270" b="0"/>
          <wp:wrapNone/>
          <wp:docPr id="16414268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426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654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239B"/>
    <w:multiLevelType w:val="multilevel"/>
    <w:tmpl w:val="6C14920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C8178F3"/>
    <w:multiLevelType w:val="hybridMultilevel"/>
    <w:tmpl w:val="CD469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10294">
    <w:abstractNumId w:val="1"/>
  </w:num>
  <w:num w:numId="2" w16cid:durableId="966591276">
    <w:abstractNumId w:val="0"/>
  </w:num>
  <w:num w:numId="3" w16cid:durableId="1747141954">
    <w:abstractNumId w:val="0"/>
  </w:num>
  <w:num w:numId="4" w16cid:durableId="115121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F4"/>
    <w:rsid w:val="00010EA7"/>
    <w:rsid w:val="00045453"/>
    <w:rsid w:val="000609BF"/>
    <w:rsid w:val="00066198"/>
    <w:rsid w:val="000C4476"/>
    <w:rsid w:val="000D4752"/>
    <w:rsid w:val="00192009"/>
    <w:rsid w:val="001A3154"/>
    <w:rsid w:val="001A7D91"/>
    <w:rsid w:val="001B0896"/>
    <w:rsid w:val="001B4EF4"/>
    <w:rsid w:val="001C4D7A"/>
    <w:rsid w:val="001D41DB"/>
    <w:rsid w:val="001E3B6C"/>
    <w:rsid w:val="001E782F"/>
    <w:rsid w:val="001F1DB2"/>
    <w:rsid w:val="0021554D"/>
    <w:rsid w:val="002245C9"/>
    <w:rsid w:val="00224860"/>
    <w:rsid w:val="0023486A"/>
    <w:rsid w:val="00253D69"/>
    <w:rsid w:val="002612C7"/>
    <w:rsid w:val="00265885"/>
    <w:rsid w:val="0027672B"/>
    <w:rsid w:val="00277E8A"/>
    <w:rsid w:val="002B696D"/>
    <w:rsid w:val="002F7CA2"/>
    <w:rsid w:val="00321F7B"/>
    <w:rsid w:val="0033309B"/>
    <w:rsid w:val="00365B0B"/>
    <w:rsid w:val="00387941"/>
    <w:rsid w:val="003A3AC9"/>
    <w:rsid w:val="003B58DA"/>
    <w:rsid w:val="003D53B7"/>
    <w:rsid w:val="003E20CE"/>
    <w:rsid w:val="004060DF"/>
    <w:rsid w:val="0042763A"/>
    <w:rsid w:val="0043294F"/>
    <w:rsid w:val="00434166"/>
    <w:rsid w:val="00442E36"/>
    <w:rsid w:val="00453818"/>
    <w:rsid w:val="00464E54"/>
    <w:rsid w:val="00477A6D"/>
    <w:rsid w:val="00494450"/>
    <w:rsid w:val="004A2D52"/>
    <w:rsid w:val="004A6A29"/>
    <w:rsid w:val="004D5448"/>
    <w:rsid w:val="004F19E8"/>
    <w:rsid w:val="004F3B10"/>
    <w:rsid w:val="005517A2"/>
    <w:rsid w:val="0058234E"/>
    <w:rsid w:val="005F4C4F"/>
    <w:rsid w:val="0060248F"/>
    <w:rsid w:val="00614850"/>
    <w:rsid w:val="00631BC1"/>
    <w:rsid w:val="00647FCF"/>
    <w:rsid w:val="006513C2"/>
    <w:rsid w:val="006801AC"/>
    <w:rsid w:val="00692DC8"/>
    <w:rsid w:val="006A21F1"/>
    <w:rsid w:val="006A7654"/>
    <w:rsid w:val="006B0F03"/>
    <w:rsid w:val="006E2B2E"/>
    <w:rsid w:val="006F4B32"/>
    <w:rsid w:val="00713F86"/>
    <w:rsid w:val="00722D1A"/>
    <w:rsid w:val="007550A9"/>
    <w:rsid w:val="00790A31"/>
    <w:rsid w:val="007925FF"/>
    <w:rsid w:val="00792A17"/>
    <w:rsid w:val="00795017"/>
    <w:rsid w:val="00796313"/>
    <w:rsid w:val="007A1C55"/>
    <w:rsid w:val="007A3128"/>
    <w:rsid w:val="007A7456"/>
    <w:rsid w:val="007B5D65"/>
    <w:rsid w:val="007B6558"/>
    <w:rsid w:val="007D136F"/>
    <w:rsid w:val="007E31F4"/>
    <w:rsid w:val="0080248C"/>
    <w:rsid w:val="00813FED"/>
    <w:rsid w:val="00814AF7"/>
    <w:rsid w:val="00854268"/>
    <w:rsid w:val="008552D6"/>
    <w:rsid w:val="00883EA2"/>
    <w:rsid w:val="008904C8"/>
    <w:rsid w:val="008B1FC7"/>
    <w:rsid w:val="008B7F5E"/>
    <w:rsid w:val="008D31F2"/>
    <w:rsid w:val="00951CBE"/>
    <w:rsid w:val="009A59D1"/>
    <w:rsid w:val="009B5FE0"/>
    <w:rsid w:val="009C4941"/>
    <w:rsid w:val="009F4C0D"/>
    <w:rsid w:val="00A03074"/>
    <w:rsid w:val="00A32C7C"/>
    <w:rsid w:val="00A51812"/>
    <w:rsid w:val="00A51C3F"/>
    <w:rsid w:val="00A55AEF"/>
    <w:rsid w:val="00A813D7"/>
    <w:rsid w:val="00A85A8A"/>
    <w:rsid w:val="00A9668A"/>
    <w:rsid w:val="00AF4880"/>
    <w:rsid w:val="00B27460"/>
    <w:rsid w:val="00B274ED"/>
    <w:rsid w:val="00B41DCA"/>
    <w:rsid w:val="00B60AA8"/>
    <w:rsid w:val="00B655EB"/>
    <w:rsid w:val="00BA21D4"/>
    <w:rsid w:val="00BA7F26"/>
    <w:rsid w:val="00BC5AEE"/>
    <w:rsid w:val="00BE33B1"/>
    <w:rsid w:val="00C10EC9"/>
    <w:rsid w:val="00C65379"/>
    <w:rsid w:val="00C737FB"/>
    <w:rsid w:val="00C9248A"/>
    <w:rsid w:val="00C97F34"/>
    <w:rsid w:val="00CA640F"/>
    <w:rsid w:val="00CA7664"/>
    <w:rsid w:val="00CB51A1"/>
    <w:rsid w:val="00CB7C2C"/>
    <w:rsid w:val="00D06463"/>
    <w:rsid w:val="00D4229B"/>
    <w:rsid w:val="00D662F9"/>
    <w:rsid w:val="00D70D83"/>
    <w:rsid w:val="00D83284"/>
    <w:rsid w:val="00DB650D"/>
    <w:rsid w:val="00DC53D4"/>
    <w:rsid w:val="00DF3D9E"/>
    <w:rsid w:val="00DF6D15"/>
    <w:rsid w:val="00E02872"/>
    <w:rsid w:val="00E21D87"/>
    <w:rsid w:val="00E37FF5"/>
    <w:rsid w:val="00E45C86"/>
    <w:rsid w:val="00E52060"/>
    <w:rsid w:val="00E87D64"/>
    <w:rsid w:val="00EC58D4"/>
    <w:rsid w:val="00ED4D81"/>
    <w:rsid w:val="00EF0F35"/>
    <w:rsid w:val="00EF38BA"/>
    <w:rsid w:val="00EF6F95"/>
    <w:rsid w:val="00F05701"/>
    <w:rsid w:val="00F13122"/>
    <w:rsid w:val="00F619E4"/>
    <w:rsid w:val="00F72E3B"/>
    <w:rsid w:val="00F85FB9"/>
    <w:rsid w:val="00FB56DC"/>
    <w:rsid w:val="00FC485E"/>
    <w:rsid w:val="00FD0342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F7358"/>
  <w15:chartTrackingRefBased/>
  <w15:docId w15:val="{96909898-5AE2-1A47-A41C-FD4CE48C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9E4"/>
  </w:style>
  <w:style w:type="paragraph" w:styleId="Stopka">
    <w:name w:val="footer"/>
    <w:basedOn w:val="Normalny"/>
    <w:link w:val="StopkaZnak"/>
    <w:uiPriority w:val="99"/>
    <w:unhideWhenUsed/>
    <w:rsid w:val="00F61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9E4"/>
  </w:style>
  <w:style w:type="numbering" w:customStyle="1" w:styleId="WWNum1">
    <w:name w:val="WWNum1"/>
    <w:rsid w:val="001A7D91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1A7D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5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shevoutlook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44</cp:revision>
  <dcterms:created xsi:type="dcterms:W3CDTF">2025-01-20T14:29:00Z</dcterms:created>
  <dcterms:modified xsi:type="dcterms:W3CDTF">2026-03-24T09:13:00Z</dcterms:modified>
</cp:coreProperties>
</file>