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839B" w14:textId="77777777" w:rsidR="004D7698" w:rsidRPr="004D7698" w:rsidRDefault="004D7698" w:rsidP="004D7698">
      <w:pPr>
        <w:pStyle w:val="Akapitzlist"/>
        <w:spacing w:after="160" w:line="259" w:lineRule="auto"/>
        <w:jc w:val="both"/>
        <w:rPr>
          <w:rFonts w:ascii="Cupra Light" w:hAnsi="Cupra Light"/>
          <w:b/>
          <w:bCs/>
          <w:sz w:val="28"/>
          <w:szCs w:val="28"/>
        </w:rPr>
      </w:pPr>
      <w:r w:rsidRPr="004D7698">
        <w:rPr>
          <w:b/>
          <w:bCs/>
          <w:sz w:val="28"/>
          <w:szCs w:val="26"/>
        </w:rPr>
        <w:t>CUPRA Leon, Formentor i Born z oceną 5 gwiazdek w testach Euro NCAP według zaostrzonych norm na 2025 rok</w:t>
      </w:r>
    </w:p>
    <w:p w14:paraId="72F6BD90" w14:textId="77777777" w:rsidR="004D7698" w:rsidRPr="004D7698" w:rsidRDefault="004D7698" w:rsidP="004D7698">
      <w:pPr>
        <w:pStyle w:val="Akapitzlist"/>
        <w:spacing w:after="160" w:line="259" w:lineRule="auto"/>
        <w:rPr>
          <w:rFonts w:ascii="Cupra Light" w:hAnsi="Cupra Light"/>
          <w:b/>
          <w:bCs/>
          <w:sz w:val="22"/>
          <w:szCs w:val="22"/>
        </w:rPr>
      </w:pPr>
    </w:p>
    <w:p w14:paraId="7410EB45" w14:textId="481EA03D" w:rsidR="005865CA" w:rsidRDefault="0051035B" w:rsidP="00923AFC">
      <w:pPr>
        <w:pStyle w:val="Akapitzlist"/>
        <w:numPr>
          <w:ilvl w:val="0"/>
          <w:numId w:val="1"/>
        </w:numPr>
        <w:spacing w:after="160" w:line="259" w:lineRule="auto"/>
        <w:contextualSpacing w:val="0"/>
        <w:rPr>
          <w:rFonts w:ascii="Cupra Light" w:hAnsi="Cupra Light"/>
          <w:b/>
          <w:bCs/>
          <w:sz w:val="22"/>
          <w:szCs w:val="22"/>
        </w:rPr>
      </w:pPr>
      <w:r w:rsidRPr="0051035B">
        <w:rPr>
          <w:rFonts w:ascii="Cupra Light" w:hAnsi="Cupra Light"/>
          <w:b/>
          <w:bCs/>
          <w:sz w:val="22"/>
          <w:szCs w:val="22"/>
        </w:rPr>
        <w:t>CUPRA utrzymuje 5-gwiazdkową ocenę bezpieczeństwa dla modeli Leon, Formentor i Born według zaostrzonych standardów Euro NCAP na 2025 rok</w:t>
      </w:r>
      <w:r w:rsidR="005865CA">
        <w:rPr>
          <w:rFonts w:ascii="Cupra Light" w:hAnsi="Cupra Light"/>
          <w:b/>
          <w:bCs/>
          <w:sz w:val="22"/>
          <w:szCs w:val="22"/>
        </w:rPr>
        <w:t>.</w:t>
      </w:r>
    </w:p>
    <w:p w14:paraId="58AE0139" w14:textId="2671D9C0" w:rsidR="005865CA" w:rsidRDefault="005865CA" w:rsidP="00923AFC">
      <w:pPr>
        <w:pStyle w:val="Akapitzlist"/>
        <w:numPr>
          <w:ilvl w:val="0"/>
          <w:numId w:val="1"/>
        </w:numPr>
        <w:spacing w:after="160" w:line="259" w:lineRule="auto"/>
        <w:contextualSpacing w:val="0"/>
        <w:rPr>
          <w:rFonts w:ascii="Cupra Light" w:hAnsi="Cupra Light"/>
          <w:b/>
          <w:bCs/>
          <w:sz w:val="22"/>
          <w:szCs w:val="22"/>
        </w:rPr>
      </w:pPr>
      <w:r w:rsidRPr="005865CA">
        <w:rPr>
          <w:rFonts w:ascii="Cupra Light" w:hAnsi="Cupra Light"/>
          <w:b/>
          <w:bCs/>
          <w:sz w:val="22"/>
          <w:szCs w:val="22"/>
        </w:rPr>
        <w:t>Nowe technologie, w tym kompletny zestaw czujników oraz zaawansowane systemy funkcjonalne, pozwoliły uzyskać maksymalny wynik</w:t>
      </w:r>
      <w:r>
        <w:rPr>
          <w:rFonts w:ascii="Cupra Light" w:hAnsi="Cupra Light"/>
          <w:b/>
          <w:bCs/>
          <w:sz w:val="22"/>
          <w:szCs w:val="22"/>
        </w:rPr>
        <w:t>.</w:t>
      </w:r>
    </w:p>
    <w:p w14:paraId="354894D4" w14:textId="558847E3" w:rsidR="005865CA" w:rsidRDefault="005865CA" w:rsidP="00923AFC">
      <w:pPr>
        <w:pStyle w:val="Akapitzlist"/>
        <w:numPr>
          <w:ilvl w:val="0"/>
          <w:numId w:val="1"/>
        </w:numPr>
        <w:spacing w:after="160" w:line="259" w:lineRule="auto"/>
        <w:contextualSpacing w:val="0"/>
        <w:rPr>
          <w:rFonts w:ascii="Cupra Light" w:hAnsi="Cupra Light"/>
          <w:b/>
          <w:bCs/>
          <w:sz w:val="22"/>
          <w:szCs w:val="22"/>
        </w:rPr>
      </w:pPr>
      <w:r w:rsidRPr="005865CA">
        <w:rPr>
          <w:rFonts w:ascii="Cupra Light" w:hAnsi="Cupra Light"/>
          <w:b/>
          <w:bCs/>
          <w:sz w:val="22"/>
          <w:szCs w:val="22"/>
        </w:rPr>
        <w:t>Zwiększona ochrona niechronionych uczestników ruchu dzięki systemom AEB dla pieszych i rowerzystów znacząco podnosi poziom bezpieczeństwa</w:t>
      </w:r>
      <w:r w:rsidR="00CE00F5">
        <w:rPr>
          <w:rFonts w:ascii="Cupra Light" w:hAnsi="Cupra Light"/>
          <w:b/>
          <w:bCs/>
          <w:sz w:val="22"/>
          <w:szCs w:val="22"/>
        </w:rPr>
        <w:t>.</w:t>
      </w:r>
    </w:p>
    <w:p w14:paraId="44E829B7" w14:textId="683AB97C" w:rsidR="0051035B" w:rsidRDefault="005865CA" w:rsidP="00923AFC">
      <w:pPr>
        <w:pStyle w:val="Akapitzlist"/>
        <w:numPr>
          <w:ilvl w:val="0"/>
          <w:numId w:val="1"/>
        </w:numPr>
        <w:spacing w:after="160" w:line="259" w:lineRule="auto"/>
        <w:contextualSpacing w:val="0"/>
        <w:rPr>
          <w:rFonts w:ascii="Cupra Light" w:hAnsi="Cupra Light"/>
          <w:b/>
          <w:bCs/>
          <w:sz w:val="22"/>
          <w:szCs w:val="22"/>
        </w:rPr>
      </w:pPr>
      <w:r w:rsidRPr="005865CA">
        <w:rPr>
          <w:rFonts w:ascii="Cupra Light" w:hAnsi="Cupra Light"/>
          <w:b/>
          <w:bCs/>
          <w:sz w:val="22"/>
          <w:szCs w:val="22"/>
        </w:rPr>
        <w:t>Leon, Formentor i Born dołączają do 5-gwiazdkowej gamy CUPRY obok modeli Tavascan i Terramar, ustanawiając nowe standardy w obszarze bezpieczeństwa</w:t>
      </w:r>
      <w:r w:rsidR="00CE00F5">
        <w:rPr>
          <w:rFonts w:ascii="Cupra Light" w:hAnsi="Cupra Light"/>
          <w:b/>
          <w:bCs/>
          <w:sz w:val="22"/>
          <w:szCs w:val="22"/>
        </w:rPr>
        <w:t>.</w:t>
      </w:r>
    </w:p>
    <w:p w14:paraId="02C74F34" w14:textId="6928291B" w:rsidR="001C77F3" w:rsidRPr="001C77F3" w:rsidRDefault="001C77F3" w:rsidP="001C77F3">
      <w:pPr>
        <w:pStyle w:val="paragraph"/>
        <w:spacing w:line="276" w:lineRule="auto"/>
        <w:jc w:val="both"/>
        <w:rPr>
          <w:rFonts w:ascii="Cupra Light" w:eastAsia="Corbel" w:hAnsi="Cupra Light" w:cs="Calibri"/>
          <w:sz w:val="22"/>
          <w:szCs w:val="22"/>
        </w:rPr>
      </w:pPr>
      <w:r w:rsidRPr="001C77F3">
        <w:rPr>
          <w:rFonts w:ascii="Cupra Light" w:eastAsia="Corbel" w:hAnsi="Cupra Light" w:cs="Calibri"/>
          <w:sz w:val="22"/>
          <w:szCs w:val="22"/>
        </w:rPr>
        <w:t>CUPRA po raz kolejny potwierdza swoje zaangażowanie w bezpieczeństwo i innowacje. Modele CUPRA Leon, CUPRA Formentor i CUPRA Born ponownie uzyskały maksymalną, 5-gwiazdkową ocenę w najnowszych testach bezpieczeństwa Euro NCAP – tym razem przeprowadzonych według jeszcze bardziej wymagającego protokołu na 2025 rok.</w:t>
      </w:r>
    </w:p>
    <w:p w14:paraId="33363F9B" w14:textId="77777777" w:rsidR="001C77F3" w:rsidRDefault="001C77F3" w:rsidP="001C77F3">
      <w:pPr>
        <w:pStyle w:val="paragraph"/>
        <w:spacing w:line="276" w:lineRule="auto"/>
        <w:jc w:val="both"/>
        <w:rPr>
          <w:rFonts w:ascii="Cupra Light" w:eastAsia="Corbel" w:hAnsi="Cupra Light" w:cs="Calibri"/>
          <w:sz w:val="22"/>
          <w:szCs w:val="22"/>
        </w:rPr>
      </w:pPr>
      <w:r w:rsidRPr="001C77F3">
        <w:rPr>
          <w:rFonts w:ascii="Cupra Light" w:eastAsia="Corbel" w:hAnsi="Cupra Light" w:cs="Calibri"/>
          <w:sz w:val="22"/>
          <w:szCs w:val="22"/>
        </w:rPr>
        <w:t>Ponowna ocena potwierdza, że modele te spełniają rosnące standardy ochrony pasażerów oraz niechronionych uczestników ruchu. Jednocześnie plasuje je w gronie pojazdów CUPRY z 5-gwiazdkową oceną Euro NCAP, obok CUPRY Tavascan i CUPRY Terramar.</w:t>
      </w:r>
    </w:p>
    <w:p w14:paraId="7EEEB7FC" w14:textId="77777777" w:rsidR="005E210A" w:rsidRPr="005E210A" w:rsidRDefault="005E210A" w:rsidP="005E210A">
      <w:pPr>
        <w:pStyle w:val="paragraph"/>
        <w:spacing w:line="276" w:lineRule="auto"/>
        <w:jc w:val="both"/>
        <w:rPr>
          <w:rFonts w:ascii="Cupra Light" w:eastAsia="Corbel" w:hAnsi="Cupra Light" w:cs="Calibri"/>
          <w:i/>
          <w:iCs/>
          <w:sz w:val="22"/>
          <w:szCs w:val="22"/>
        </w:rPr>
      </w:pPr>
      <w:r w:rsidRPr="005E210A">
        <w:rPr>
          <w:rFonts w:ascii="Cupra Light" w:eastAsia="Corbel" w:hAnsi="Cupra Light" w:cs="Calibri"/>
          <w:i/>
          <w:iCs/>
          <w:sz w:val="22"/>
          <w:szCs w:val="22"/>
        </w:rPr>
        <w:t>„CUPRA Leon, Formentor i Born od zawsze odzwierciedlają nasze sportowe DNA, ale bezpieczeństwo jest równie ważnym elementem naszej strategii”</w:t>
      </w:r>
      <w:r w:rsidRPr="005E210A">
        <w:rPr>
          <w:rFonts w:ascii="Cupra Light" w:eastAsia="Corbel" w:hAnsi="Cupra Light" w:cs="Calibri"/>
          <w:sz w:val="22"/>
          <w:szCs w:val="22"/>
        </w:rPr>
        <w:t xml:space="preserve"> – powiedział </w:t>
      </w:r>
      <w:r w:rsidRPr="005E210A">
        <w:rPr>
          <w:rFonts w:ascii="Cupra Light" w:eastAsia="Corbel" w:hAnsi="Cupra Light" w:cs="Calibri"/>
          <w:b/>
          <w:bCs/>
          <w:sz w:val="22"/>
          <w:szCs w:val="22"/>
        </w:rPr>
        <w:t>dr Werner Tietz, wiceprezes ds. badań i rozwoju w CUPRA</w:t>
      </w:r>
      <w:r w:rsidRPr="005E210A">
        <w:rPr>
          <w:rFonts w:ascii="Cupra Light" w:eastAsia="Corbel" w:hAnsi="Cupra Light" w:cs="Calibri"/>
          <w:sz w:val="22"/>
          <w:szCs w:val="22"/>
        </w:rPr>
        <w:t xml:space="preserve">. </w:t>
      </w:r>
      <w:r w:rsidRPr="005E210A">
        <w:rPr>
          <w:rFonts w:ascii="Cupra Light" w:eastAsia="Corbel" w:hAnsi="Cupra Light" w:cs="Calibri"/>
          <w:i/>
          <w:iCs/>
          <w:sz w:val="22"/>
          <w:szCs w:val="22"/>
        </w:rPr>
        <w:t>„Spełnienie nowych standardów Euro NCAP na 2025 rok to dowód na kompetencje naszych zespołów inżynieryjnych i ich nieustanne dążenie do doskonałości”.</w:t>
      </w:r>
    </w:p>
    <w:p w14:paraId="27154964" w14:textId="77777777" w:rsidR="005E210A" w:rsidRPr="005E210A" w:rsidRDefault="005E210A" w:rsidP="005E210A">
      <w:pPr>
        <w:pStyle w:val="paragraph"/>
        <w:spacing w:line="276" w:lineRule="auto"/>
        <w:jc w:val="both"/>
        <w:rPr>
          <w:rFonts w:ascii="Cupra Light" w:eastAsia="Corbel" w:hAnsi="Cupra Light" w:cs="Calibri"/>
          <w:sz w:val="22"/>
          <w:szCs w:val="22"/>
        </w:rPr>
      </w:pPr>
      <w:r w:rsidRPr="005E210A">
        <w:rPr>
          <w:rFonts w:ascii="Cupra Light" w:eastAsia="Corbel" w:hAnsi="Cupra Light" w:cs="Calibri"/>
          <w:sz w:val="22"/>
          <w:szCs w:val="22"/>
        </w:rPr>
        <w:t>Protokół Euro NCAP 2025 wprowadza bardziej rygorystyczne kryteria oceny w czterech kluczowych obszarach: ochronie dorosłych pasażerów, ochronie dzieci, bezpieczeństwie niechronionych uczestników ruchu oraz systemach aktywnego bezpieczeństwa. Zmiany obejmują bardziej realistyczne testy potrącenia pieszych, złożone scenariusze na skrzyżowaniach oraz rozszerzone analizy biomechaniczne.</w:t>
      </w:r>
    </w:p>
    <w:p w14:paraId="76AD4B21" w14:textId="77777777" w:rsidR="005E210A" w:rsidRDefault="005E210A" w:rsidP="005E210A">
      <w:pPr>
        <w:pStyle w:val="paragraph"/>
        <w:spacing w:line="276" w:lineRule="auto"/>
        <w:jc w:val="both"/>
        <w:rPr>
          <w:rFonts w:ascii="Cupra Light" w:eastAsia="Corbel" w:hAnsi="Cupra Light" w:cs="Calibri"/>
          <w:sz w:val="22"/>
          <w:szCs w:val="22"/>
        </w:rPr>
      </w:pPr>
      <w:r w:rsidRPr="005E210A">
        <w:rPr>
          <w:rFonts w:ascii="Cupra Light" w:eastAsia="Corbel" w:hAnsi="Cupra Light" w:cs="Calibri"/>
          <w:sz w:val="22"/>
          <w:szCs w:val="22"/>
        </w:rPr>
        <w:t>Aby sprostać tym zaostrzonym wymaganiom, modele CUPRA Leon i CUPRA Formentor wyposażono w szereg nowych technologii bezpieczeństwa, w tym zestaw kamer i radarów wspierających zaawansowane systemy wspomagania kierowcy. Udoskonalony system Front Assist obejmuje teraz asystenta skrzyżowań, wykrywanie sytuacji podczas skręcania oraz zapobieganie czołowym kolizjom. Systemy te zostały zaprojektowane tak, aby wykrywać i reagować na potencjalne zagrożenia w szerszej gamie rzeczywistych sytuacji drogowych, pomagając zapobiegać wypadkom lub ograniczać ich skutki.</w:t>
      </w:r>
    </w:p>
    <w:p w14:paraId="1C8DC386" w14:textId="77777777" w:rsidR="00940F56" w:rsidRDefault="00940F56" w:rsidP="005E210A">
      <w:pPr>
        <w:pStyle w:val="paragraph"/>
        <w:spacing w:line="276" w:lineRule="auto"/>
        <w:jc w:val="both"/>
        <w:rPr>
          <w:rFonts w:ascii="Cupra Light" w:eastAsia="Corbel" w:hAnsi="Cupra Light" w:cs="Calibri"/>
          <w:sz w:val="22"/>
          <w:szCs w:val="22"/>
        </w:rPr>
      </w:pPr>
    </w:p>
    <w:p w14:paraId="03B7CA53" w14:textId="01FF91E1" w:rsidR="00940F56" w:rsidRPr="00940F56" w:rsidRDefault="00940F56" w:rsidP="00940F56">
      <w:pPr>
        <w:pStyle w:val="paragraph"/>
        <w:spacing w:line="276" w:lineRule="auto"/>
        <w:jc w:val="both"/>
        <w:rPr>
          <w:rFonts w:ascii="Cupra Light" w:eastAsia="Corbel" w:hAnsi="Cupra Light" w:cs="Calibri"/>
          <w:sz w:val="22"/>
          <w:szCs w:val="22"/>
        </w:rPr>
      </w:pPr>
      <w:r w:rsidRPr="00940F56">
        <w:rPr>
          <w:rFonts w:ascii="Cupra Light" w:eastAsia="Corbel" w:hAnsi="Cupra Light" w:cs="Calibri"/>
          <w:sz w:val="22"/>
          <w:szCs w:val="22"/>
        </w:rPr>
        <w:lastRenderedPageBreak/>
        <w:t>Oprócz systemów aktywnych, pojazdy przeszły również nowe oceny w zakresie odporności na uderzenia boczne w słup oraz z przeciwnej strony, realizowane poprzez testy wirtualne. Są one kluczowe dla potwierdzenia integralności strukturalnej pojazdu oraz skuteczności systemów bezpieczeństwa biernego w rzeczywistych scenariuszach wypadków. CUPRA Leon, Formentor i</w:t>
      </w:r>
      <w:r>
        <w:rPr>
          <w:rFonts w:ascii="Cupra Light" w:eastAsia="Corbel" w:hAnsi="Cupra Light" w:cs="Calibri"/>
          <w:sz w:val="22"/>
          <w:szCs w:val="22"/>
        </w:rPr>
        <w:t> </w:t>
      </w:r>
      <w:r w:rsidRPr="00940F56">
        <w:rPr>
          <w:rFonts w:ascii="Cupra Light" w:eastAsia="Corbel" w:hAnsi="Cupra Light" w:cs="Calibri"/>
          <w:sz w:val="22"/>
          <w:szCs w:val="22"/>
        </w:rPr>
        <w:t>Born pomyślnie je zaliczyły, potwierdzając, jak dużą wagę marka przykłada do ochrony pasażerów.</w:t>
      </w:r>
    </w:p>
    <w:p w14:paraId="3CD9876D" w14:textId="77777777" w:rsidR="00940F56" w:rsidRPr="00940F56" w:rsidRDefault="00940F56" w:rsidP="00940F56">
      <w:pPr>
        <w:pStyle w:val="paragraph"/>
        <w:spacing w:line="276" w:lineRule="auto"/>
        <w:jc w:val="both"/>
        <w:rPr>
          <w:rFonts w:ascii="Cupra Light" w:eastAsia="Corbel" w:hAnsi="Cupra Light" w:cs="Calibri"/>
          <w:sz w:val="22"/>
          <w:szCs w:val="22"/>
        </w:rPr>
      </w:pPr>
      <w:r w:rsidRPr="00940F56">
        <w:rPr>
          <w:rFonts w:ascii="Cupra Light" w:eastAsia="Corbel" w:hAnsi="Cupra Light" w:cs="Calibri"/>
          <w:sz w:val="22"/>
          <w:szCs w:val="22"/>
        </w:rPr>
        <w:t>Znacząco poprawiono także poziom bezpieczeństwa niechronionych uczestników ruchu. W testach ochrony pieszych zastosowano nowy element uderzeniowy symulujący nogę, który pozwala na bardziej realistyczną ocenę obciążeń na kość udową i piszczel. Poszerzono również obszar oceny uderzenia głowy rowerzysty.</w:t>
      </w:r>
    </w:p>
    <w:p w14:paraId="002D400F" w14:textId="77777777" w:rsidR="00940F56" w:rsidRPr="00940F56" w:rsidRDefault="00940F56" w:rsidP="00940F56">
      <w:pPr>
        <w:pStyle w:val="paragraph"/>
        <w:spacing w:line="276" w:lineRule="auto"/>
        <w:jc w:val="both"/>
        <w:rPr>
          <w:rFonts w:ascii="Cupra Light" w:eastAsia="Corbel" w:hAnsi="Cupra Light" w:cs="Calibri"/>
          <w:sz w:val="22"/>
          <w:szCs w:val="22"/>
        </w:rPr>
      </w:pPr>
      <w:r w:rsidRPr="00940F56">
        <w:rPr>
          <w:rFonts w:ascii="Cupra Light" w:eastAsia="Corbel" w:hAnsi="Cupra Light" w:cs="Calibri"/>
          <w:sz w:val="22"/>
          <w:szCs w:val="22"/>
        </w:rPr>
        <w:t>Modele te wyposażono także w funkcję prywatnego eCall, zapewniającą szybką reakcję służb ratunkowych, a także karty ratownicze dostępne we wszystkich językach Unii Europejskiej. Pomyślnie przeszły również testy zanurzeniowe według protokołu 2025, potwierdzające, że przez określony czas kluczowe systemy elektryczne pozostają sprawne, umożliwiając bezpieczne opuszczenie pojazdu przez pasażerów.</w:t>
      </w:r>
    </w:p>
    <w:p w14:paraId="62FF42A8" w14:textId="77777777" w:rsidR="00940F56" w:rsidRPr="00940F56" w:rsidRDefault="00940F56" w:rsidP="00940F56">
      <w:pPr>
        <w:pStyle w:val="paragraph"/>
        <w:spacing w:line="276" w:lineRule="auto"/>
        <w:jc w:val="both"/>
        <w:rPr>
          <w:rFonts w:ascii="Cupra Light" w:eastAsia="Corbel" w:hAnsi="Cupra Light" w:cs="Calibri"/>
          <w:sz w:val="22"/>
          <w:szCs w:val="22"/>
        </w:rPr>
      </w:pPr>
      <w:r w:rsidRPr="00940F56">
        <w:rPr>
          <w:rFonts w:ascii="Cupra Light" w:eastAsia="Corbel" w:hAnsi="Cupra Light" w:cs="Calibri"/>
          <w:b/>
          <w:bCs/>
          <w:sz w:val="22"/>
          <w:szCs w:val="22"/>
        </w:rPr>
        <w:t>Ostateczne wyniki podkreślają wszechstronny poziom bezpieczeństwa modeli:</w:t>
      </w:r>
    </w:p>
    <w:p w14:paraId="75AD249C" w14:textId="77777777" w:rsidR="00940F56" w:rsidRPr="00940F56" w:rsidRDefault="00940F56" w:rsidP="00940F56">
      <w:pPr>
        <w:pStyle w:val="paragraph"/>
        <w:numPr>
          <w:ilvl w:val="0"/>
          <w:numId w:val="2"/>
        </w:numPr>
        <w:spacing w:line="276" w:lineRule="auto"/>
        <w:jc w:val="both"/>
        <w:rPr>
          <w:rFonts w:ascii="Cupra Light" w:eastAsia="Corbel" w:hAnsi="Cupra Light" w:cs="Calibri"/>
          <w:sz w:val="22"/>
          <w:szCs w:val="22"/>
        </w:rPr>
      </w:pPr>
      <w:r w:rsidRPr="00940F56">
        <w:rPr>
          <w:rFonts w:ascii="Cupra Light" w:eastAsia="Corbel" w:hAnsi="Cupra Light" w:cs="Calibri"/>
          <w:b/>
          <w:bCs/>
          <w:sz w:val="22"/>
          <w:szCs w:val="22"/>
        </w:rPr>
        <w:t>CUPRA Leon:</w:t>
      </w:r>
      <w:r w:rsidRPr="00940F56">
        <w:rPr>
          <w:rFonts w:ascii="Cupra Light" w:eastAsia="Corbel" w:hAnsi="Cupra Light" w:cs="Calibri"/>
          <w:sz w:val="22"/>
          <w:szCs w:val="22"/>
        </w:rPr>
        <w:t xml:space="preserve"> 88% ochrona dorosłych, 86% ochrona dzieci, 82% ochrona niechronionych uczestników ruchu, 77% systemy wspomagające</w:t>
      </w:r>
    </w:p>
    <w:p w14:paraId="0E626D62" w14:textId="77777777" w:rsidR="00940F56" w:rsidRPr="00940F56" w:rsidRDefault="00940F56" w:rsidP="00940F56">
      <w:pPr>
        <w:pStyle w:val="paragraph"/>
        <w:numPr>
          <w:ilvl w:val="0"/>
          <w:numId w:val="2"/>
        </w:numPr>
        <w:spacing w:line="276" w:lineRule="auto"/>
        <w:jc w:val="both"/>
        <w:rPr>
          <w:rFonts w:ascii="Cupra Light" w:eastAsia="Corbel" w:hAnsi="Cupra Light" w:cs="Calibri"/>
          <w:sz w:val="22"/>
          <w:szCs w:val="22"/>
        </w:rPr>
      </w:pPr>
      <w:r w:rsidRPr="00940F56">
        <w:rPr>
          <w:rFonts w:ascii="Cupra Light" w:eastAsia="Corbel" w:hAnsi="Cupra Light" w:cs="Calibri"/>
          <w:b/>
          <w:bCs/>
          <w:sz w:val="22"/>
          <w:szCs w:val="22"/>
        </w:rPr>
        <w:t>CUPRA Formentor:</w:t>
      </w:r>
      <w:r w:rsidRPr="00940F56">
        <w:rPr>
          <w:rFonts w:ascii="Cupra Light" w:eastAsia="Corbel" w:hAnsi="Cupra Light" w:cs="Calibri"/>
          <w:sz w:val="22"/>
          <w:szCs w:val="22"/>
        </w:rPr>
        <w:t xml:space="preserve"> 91% ochrona dorosłych, 86% ochrona dzieci, 79% ochrona niechronionych uczestników ruchu, 77% systemy wspomagające</w:t>
      </w:r>
    </w:p>
    <w:p w14:paraId="710B140D" w14:textId="77777777" w:rsidR="00940F56" w:rsidRPr="00940F56" w:rsidRDefault="00940F56" w:rsidP="00940F56">
      <w:pPr>
        <w:pStyle w:val="paragraph"/>
        <w:numPr>
          <w:ilvl w:val="0"/>
          <w:numId w:val="2"/>
        </w:numPr>
        <w:spacing w:line="276" w:lineRule="auto"/>
        <w:jc w:val="both"/>
        <w:rPr>
          <w:rFonts w:ascii="Cupra Light" w:eastAsia="Corbel" w:hAnsi="Cupra Light" w:cs="Calibri"/>
          <w:sz w:val="22"/>
          <w:szCs w:val="22"/>
        </w:rPr>
      </w:pPr>
      <w:r w:rsidRPr="00940F56">
        <w:rPr>
          <w:rFonts w:ascii="Cupra Light" w:eastAsia="Corbel" w:hAnsi="Cupra Light" w:cs="Calibri"/>
          <w:b/>
          <w:bCs/>
          <w:sz w:val="22"/>
          <w:szCs w:val="22"/>
        </w:rPr>
        <w:t>CUPRA Born:</w:t>
      </w:r>
      <w:r w:rsidRPr="00940F56">
        <w:rPr>
          <w:rFonts w:ascii="Cupra Light" w:eastAsia="Corbel" w:hAnsi="Cupra Light" w:cs="Calibri"/>
          <w:sz w:val="22"/>
          <w:szCs w:val="22"/>
        </w:rPr>
        <w:t xml:space="preserve"> 89% ochrona dorosłych, 87% ochrona dzieci, 76% ochrona niechronionych uczestników ruchu, 76% systemy wspomagające</w:t>
      </w:r>
    </w:p>
    <w:p w14:paraId="510D338D" w14:textId="77777777" w:rsidR="00940F56" w:rsidRPr="00940F56" w:rsidRDefault="00940F56" w:rsidP="00940F56">
      <w:pPr>
        <w:pStyle w:val="paragraph"/>
        <w:spacing w:line="276" w:lineRule="auto"/>
        <w:jc w:val="both"/>
        <w:rPr>
          <w:rFonts w:ascii="Cupra Light" w:eastAsia="Corbel" w:hAnsi="Cupra Light" w:cs="Calibri"/>
          <w:sz w:val="22"/>
          <w:szCs w:val="22"/>
        </w:rPr>
      </w:pPr>
      <w:r w:rsidRPr="00940F56">
        <w:rPr>
          <w:rFonts w:ascii="Cupra Light" w:eastAsia="Corbel" w:hAnsi="Cupra Light" w:cs="Calibri"/>
          <w:sz w:val="22"/>
          <w:szCs w:val="22"/>
        </w:rPr>
        <w:t>Wyniki te potwierdzają pozycję modeli CUPRA Leon, Formentor i Born jako jednych z najbezpieczniejszych pojazdów w swoich segmentach oraz wzmacniają pozycję CUPRY jako marki, która łączy design, osiągi i bezpieczeństwo, wyznaczając nowe standardy na drodze.</w:t>
      </w:r>
    </w:p>
    <w:p w14:paraId="652730BE" w14:textId="77777777" w:rsidR="00940F56" w:rsidRPr="005E210A" w:rsidRDefault="00940F56" w:rsidP="005E210A">
      <w:pPr>
        <w:pStyle w:val="paragraph"/>
        <w:spacing w:line="276" w:lineRule="auto"/>
        <w:jc w:val="both"/>
        <w:rPr>
          <w:rFonts w:ascii="Cupra Light" w:eastAsia="Corbel" w:hAnsi="Cupra Light" w:cs="Calibri"/>
          <w:sz w:val="22"/>
          <w:szCs w:val="22"/>
        </w:rPr>
      </w:pPr>
    </w:p>
    <w:p w14:paraId="5A362732" w14:textId="77777777" w:rsidR="001C77F3" w:rsidRPr="001C77F3" w:rsidRDefault="001C77F3" w:rsidP="001C77F3">
      <w:pPr>
        <w:pStyle w:val="paragraph"/>
        <w:spacing w:line="276" w:lineRule="auto"/>
        <w:jc w:val="both"/>
        <w:rPr>
          <w:rFonts w:ascii="Cupra Light" w:eastAsia="Corbel" w:hAnsi="Cupra Light" w:cs="Calibri"/>
          <w:sz w:val="22"/>
          <w:szCs w:val="22"/>
        </w:rPr>
      </w:pPr>
    </w:p>
    <w:p w14:paraId="0B823741" w14:textId="77777777" w:rsidR="00923AFC" w:rsidRPr="00FA1E15" w:rsidRDefault="00923AFC" w:rsidP="00923AFC">
      <w:pPr>
        <w:pStyle w:val="paragraph"/>
        <w:spacing w:line="276" w:lineRule="auto"/>
        <w:jc w:val="both"/>
        <w:rPr>
          <w:rFonts w:ascii="Corbel" w:eastAsia="Corbel" w:hAnsi="Corbel" w:cs="Corbel"/>
          <w:b/>
          <w:bCs/>
          <w:sz w:val="18"/>
          <w:szCs w:val="18"/>
          <w:u w:val="single"/>
          <w14:textOutline w14:w="12700" w14:cap="flat" w14:cmpd="sng" w14:algn="ctr">
            <w14:noFill/>
            <w14:prstDash w14:val="solid"/>
            <w14:miter w14:lim="400000"/>
          </w14:textOutline>
        </w:rPr>
      </w:pPr>
      <w:r w:rsidRPr="00FA1E15">
        <w:rPr>
          <w:rFonts w:ascii="Corbel" w:eastAsia="Corbel" w:hAnsi="Corbel" w:cs="Corbel"/>
          <w:b/>
          <w:bCs/>
          <w:sz w:val="18"/>
          <w:szCs w:val="18"/>
          <w:u w:val="single"/>
          <w14:textOutline w14:w="12700" w14:cap="flat" w14:cmpd="sng" w14:algn="ctr">
            <w14:noFill/>
            <w14:prstDash w14:val="solid"/>
            <w14:miter w14:lim="400000"/>
          </w14:textOutline>
        </w:rPr>
        <w:t xml:space="preserve">CUPRA </w:t>
      </w:r>
    </w:p>
    <w:p w14:paraId="1D8E71B6" w14:textId="77777777" w:rsidR="00923AFC" w:rsidRPr="00FA1E15" w:rsidRDefault="00923AFC" w:rsidP="00923AFC">
      <w:pPr>
        <w:pStyle w:val="paragraph"/>
        <w:spacing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t>CUPRA – Marka, która zmienia zasady gry</w:t>
      </w:r>
    </w:p>
    <w:p w14:paraId="7CAD1653" w14:textId="77777777" w:rsidR="00923AFC" w:rsidRPr="00FA1E15" w:rsidRDefault="00923AFC" w:rsidP="00923AFC">
      <w:pPr>
        <w:pStyle w:val="paragraph"/>
        <w:spacing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t>Zmiana potrzebuje napędu — CUPRA wierzy, że prawdziwy postęp rodzi się z radykalnych zmian, z przekraczania oczekiwań i łamania konwencji. Od momentu powstania w 2018 roku marka przekształca branżę motoryzacyjną, jest inicjatorem kreatywności i katalizatorem zmian.</w:t>
      </w:r>
    </w:p>
    <w:p w14:paraId="173E6BBC" w14:textId="77777777" w:rsidR="00923AFC" w:rsidRPr="00FA1E15" w:rsidRDefault="00923AFC" w:rsidP="00923AFC">
      <w:pPr>
        <w:pStyle w:val="paragraph"/>
        <w:spacing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t>W ciągu zaledwie siedmiu lat CUPRA wprowadziła na rynek siedem modeli i sprzedała ponad 800 000 samochodów na całym świecie. Każdy model CUPRA to połączenie wyrazistego designu i emocjonujących osiągów. W portfolio marki znajdują się: CUPRA Ateca – pierwszy model z logo CUPRA; CUPRA Leon – zaprojektowany na nowo jako samodzielny model; CUPRA Formentor – pierwszy samochód stworzony wyłącznie przez markę i jednocześnie jej bestseller; CUPRA Born – pierwszy w pełni elektryczny model; CUPRA Tavascan – elektryczne SUV coupé; oraz CUPRA Terramar – sportowy SUV. W 2026 roku do gamy dołączy CUPRA Raval – odważna interpretacja miejskiego samochodu elektrycznego.</w:t>
      </w:r>
    </w:p>
    <w:p w14:paraId="50B7CF42"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r w:rsidRPr="00FA1E15">
        <w:rPr>
          <w:rFonts w:ascii="Corbel" w:eastAsia="Corbel" w:hAnsi="Corbel" w:cs="Corbel"/>
          <w:sz w:val="18"/>
          <w:szCs w:val="18"/>
          <w14:textOutline w14:w="12700" w14:cap="flat" w14:cmpd="sng" w14:algn="ctr">
            <w14:noFill/>
            <w14:prstDash w14:val="solid"/>
            <w14:miter w14:lim="400000"/>
          </w14:textOutline>
        </w:rPr>
        <w:lastRenderedPageBreak/>
        <w:t>CUPRA to więcej niż samochód. To przekonanie. CUPRA Tribe tworzą ambasadorzy, którzy przełamują schematy i przesuwają granice tam, gdzie inni się zatrzymują. Wśród nich są reżyser J.A. Bayona, bramkarz Marc ter Stegen oraz dwukrotna zdobywczyni Złotej Piłki i nagrody FIFA The Best – Alexia Putellas. CUPRA nieustannie poszukuje emocji – zarówno na drodze, jak i poza nią. Jest oficjalnym partnerem motoryzacyjnym FC Barcelony, sponsorem premium Premier Padel Tour oraz uczestnikiem wyścigów Formuły E z zespołem Kiro Race Co.</w:t>
      </w:r>
    </w:p>
    <w:p w14:paraId="3696E727"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p>
    <w:p w14:paraId="562E8448"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p>
    <w:p w14:paraId="51959213" w14:textId="77777777" w:rsidR="00923AFC" w:rsidRPr="00FA1E15" w:rsidRDefault="00923AFC" w:rsidP="00923AFC">
      <w:pPr>
        <w:pStyle w:val="paragraph"/>
        <w:spacing w:before="0" w:after="0" w:line="276" w:lineRule="auto"/>
        <w:jc w:val="both"/>
        <w:rPr>
          <w:rFonts w:ascii="Corbel" w:eastAsia="Corbel" w:hAnsi="Corbel" w:cs="Corbel"/>
          <w:sz w:val="18"/>
          <w:szCs w:val="18"/>
          <w14:textOutline w14:w="12700" w14:cap="flat" w14:cmpd="sng" w14:algn="ctr">
            <w14:noFill/>
            <w14:prstDash w14:val="solid"/>
            <w14:miter w14:lim="400000"/>
          </w14:textOutline>
        </w:rPr>
      </w:pPr>
      <w:hyperlink r:id="rId7" w:history="1">
        <w:r w:rsidRPr="00FA1E15">
          <w:rPr>
            <w:rStyle w:val="Hipercze"/>
            <w:rFonts w:ascii="Corbel" w:eastAsia="Corbel" w:hAnsi="Corbel" w:cs="Corbel"/>
            <w:sz w:val="18"/>
            <w:szCs w:val="18"/>
            <w14:textOutline w14:w="12700" w14:cap="flat" w14:cmpd="sng" w14:algn="ctr">
              <w14:noFill/>
              <w14:prstDash w14:val="solid"/>
              <w14:miter w14:lim="400000"/>
            </w14:textOutline>
          </w:rPr>
          <w:t>www.cupraofficial.com</w:t>
        </w:r>
      </w:hyperlink>
      <w:r w:rsidRPr="00FA1E15">
        <w:rPr>
          <w:rFonts w:ascii="Corbel" w:eastAsia="Corbel" w:hAnsi="Corbel" w:cs="Corbel"/>
          <w:sz w:val="18"/>
          <w:szCs w:val="18"/>
          <w14:textOutline w14:w="12700" w14:cap="flat" w14:cmpd="sng" w14:algn="ctr">
            <w14:noFill/>
            <w14:prstDash w14:val="solid"/>
            <w14:miter w14:lim="400000"/>
          </w14:textOutline>
        </w:rPr>
        <w:t xml:space="preserve"> </w:t>
      </w:r>
    </w:p>
    <w:p w14:paraId="7211CD86" w14:textId="77777777" w:rsidR="00923AFC" w:rsidRPr="00FA1E15" w:rsidRDefault="00923AFC" w:rsidP="00923AFC">
      <w:pPr>
        <w:pStyle w:val="paragraph"/>
        <w:spacing w:before="0" w:after="0" w:line="276" w:lineRule="auto"/>
        <w:jc w:val="both"/>
        <w:rPr>
          <w:rStyle w:val="Brak"/>
          <w:rFonts w:ascii="Segoe UI" w:eastAsia="Segoe UI" w:hAnsi="Segoe UI" w:cs="Segoe UI"/>
          <w:sz w:val="18"/>
          <w:szCs w:val="18"/>
        </w:rPr>
      </w:pPr>
      <w:r w:rsidRPr="00FA1E15">
        <w:rPr>
          <w:rStyle w:val="Brak"/>
          <w:rFonts w:ascii="Arial" w:hAnsi="Arial"/>
          <w:sz w:val="18"/>
          <w:szCs w:val="18"/>
        </w:rPr>
        <w:t> </w:t>
      </w:r>
    </w:p>
    <w:p w14:paraId="300679BA"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b/>
          <w:bCs/>
          <w:sz w:val="18"/>
          <w:szCs w:val="18"/>
        </w:rPr>
        <w:t>KONTAKT DLA MEDIÓW:</w:t>
      </w:r>
      <w:r w:rsidRPr="00FA1E15">
        <w:rPr>
          <w:rStyle w:val="Brak"/>
          <w:rFonts w:ascii="Corbel" w:eastAsia="Corbel" w:hAnsi="Corbel" w:cs="Corbel"/>
          <w:sz w:val="18"/>
          <w:szCs w:val="18"/>
        </w:rPr>
        <w:t> </w:t>
      </w:r>
    </w:p>
    <w:p w14:paraId="0378ABB7" w14:textId="77777777" w:rsidR="00923AFC" w:rsidRPr="00FA1E15" w:rsidRDefault="00923AFC" w:rsidP="00923AFC">
      <w:pPr>
        <w:spacing w:line="276" w:lineRule="auto"/>
        <w:jc w:val="both"/>
        <w:rPr>
          <w:rStyle w:val="Brak"/>
          <w:rFonts w:ascii="Corbel" w:eastAsia="Corbel" w:hAnsi="Corbel" w:cs="Corbel"/>
          <w:sz w:val="18"/>
          <w:szCs w:val="18"/>
        </w:rPr>
      </w:pPr>
      <w:r w:rsidRPr="00FA1E15">
        <w:rPr>
          <w:rStyle w:val="Brak"/>
          <w:rFonts w:ascii="Corbel" w:eastAsia="Corbel" w:hAnsi="Corbel" w:cs="Corbel"/>
          <w:sz w:val="18"/>
          <w:szCs w:val="18"/>
        </w:rPr>
        <w:t>Katarzyna Dziomdziora</w:t>
      </w:r>
    </w:p>
    <w:p w14:paraId="47604879" w14:textId="77777777" w:rsidR="00923AFC" w:rsidRPr="00FA1E15" w:rsidRDefault="00923AFC" w:rsidP="00923AFC">
      <w:pPr>
        <w:spacing w:line="276" w:lineRule="auto"/>
        <w:jc w:val="both"/>
        <w:rPr>
          <w:rStyle w:val="Brak"/>
          <w:rFonts w:ascii="Corbel" w:eastAsia="Corbel" w:hAnsi="Corbel" w:cs="Corbel"/>
          <w:sz w:val="18"/>
          <w:szCs w:val="18"/>
        </w:rPr>
      </w:pPr>
      <w:r w:rsidRPr="00FA1E15">
        <w:rPr>
          <w:rStyle w:val="Brak"/>
          <w:rFonts w:ascii="Corbel" w:eastAsia="Corbel" w:hAnsi="Corbel" w:cs="Corbel"/>
          <w:sz w:val="18"/>
          <w:szCs w:val="18"/>
        </w:rPr>
        <w:t>tel. kom.: +48 690 406 350</w:t>
      </w:r>
    </w:p>
    <w:p w14:paraId="53C91E40"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 xml:space="preserve">katarzyna.dziomdziora1@seat-auto.pl | </w:t>
      </w:r>
      <w:hyperlink r:id="rId8" w:history="1">
        <w:r w:rsidRPr="00FA1E15">
          <w:rPr>
            <w:rStyle w:val="Hyperlink1"/>
          </w:rPr>
          <w:t>www.seatmedia.pl</w:t>
        </w:r>
      </w:hyperlink>
      <w:r w:rsidRPr="00FA1E15">
        <w:rPr>
          <w:rStyle w:val="Brak"/>
          <w:rFonts w:ascii="Corbel" w:eastAsia="Corbel" w:hAnsi="Corbel" w:cs="Corbel"/>
          <w:sz w:val="18"/>
          <w:szCs w:val="18"/>
        </w:rPr>
        <w:t xml:space="preserve"> </w:t>
      </w:r>
    </w:p>
    <w:p w14:paraId="659A6459"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 </w:t>
      </w:r>
    </w:p>
    <w:p w14:paraId="6F08A822"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Biuro prasowe | 24/7Communication </w:t>
      </w:r>
    </w:p>
    <w:p w14:paraId="3A271F95" w14:textId="77777777" w:rsidR="00923AFC" w:rsidRPr="00FA1E15" w:rsidRDefault="00923AFC" w:rsidP="00923AFC">
      <w:pPr>
        <w:spacing w:line="276" w:lineRule="auto"/>
        <w:jc w:val="both"/>
        <w:rPr>
          <w:rStyle w:val="Brak"/>
          <w:rFonts w:ascii="Times New Roman" w:eastAsia="Times New Roman" w:hAnsi="Times New Roman" w:cs="Times New Roman"/>
          <w:sz w:val="24"/>
          <w:szCs w:val="24"/>
        </w:rPr>
      </w:pPr>
      <w:r w:rsidRPr="00FA1E15">
        <w:rPr>
          <w:rStyle w:val="Brak"/>
          <w:rFonts w:ascii="Corbel" w:eastAsia="Corbel" w:hAnsi="Corbel" w:cs="Corbel"/>
          <w:sz w:val="18"/>
          <w:szCs w:val="18"/>
        </w:rPr>
        <w:t>Paweł Tamioła | kom. +48 731 990 247</w:t>
      </w:r>
    </w:p>
    <w:p w14:paraId="09F35B18" w14:textId="77777777" w:rsidR="00923AFC" w:rsidRPr="00FA1E15" w:rsidRDefault="00923AFC" w:rsidP="00923AFC">
      <w:pPr>
        <w:spacing w:line="276" w:lineRule="auto"/>
        <w:jc w:val="both"/>
      </w:pPr>
      <w:r w:rsidRPr="00FA1E15">
        <w:rPr>
          <w:rStyle w:val="Brak"/>
          <w:rFonts w:ascii="Corbel" w:eastAsia="Corbel" w:hAnsi="Corbel" w:cs="Corbel"/>
          <w:sz w:val="18"/>
          <w:szCs w:val="18"/>
        </w:rPr>
        <w:t xml:space="preserve">cupra@247.com.pl | </w:t>
      </w:r>
      <w:hyperlink r:id="rId9" w:history="1">
        <w:r w:rsidRPr="00FA1E15">
          <w:rPr>
            <w:rStyle w:val="Hyperlink2"/>
            <w:lang w:val="pl-PL"/>
          </w:rPr>
          <w:t>www.seatmedia.pl</w:t>
        </w:r>
      </w:hyperlink>
    </w:p>
    <w:p w14:paraId="22650E71" w14:textId="77777777" w:rsidR="00C020F8" w:rsidRPr="00923AFC" w:rsidRDefault="00C020F8"/>
    <w:sectPr w:rsidR="00C020F8" w:rsidRPr="00923AFC" w:rsidSect="00923AFC">
      <w:headerReference w:type="default" r:id="rId10"/>
      <w:footerReference w:type="even" r:id="rId11"/>
      <w:footerReference w:type="first" r:id="rId12"/>
      <w:pgSz w:w="11900" w:h="16840"/>
      <w:pgMar w:top="2694" w:right="1361" w:bottom="1702" w:left="181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6BCA" w14:textId="77777777" w:rsidR="009A605F" w:rsidRPr="00FA1E15" w:rsidRDefault="009A605F">
      <w:pPr>
        <w:spacing w:line="240" w:lineRule="auto"/>
      </w:pPr>
      <w:r w:rsidRPr="00FA1E15">
        <w:separator/>
      </w:r>
    </w:p>
  </w:endnote>
  <w:endnote w:type="continuationSeparator" w:id="0">
    <w:p w14:paraId="3EA00F21" w14:textId="77777777" w:rsidR="009A605F" w:rsidRPr="00FA1E15" w:rsidRDefault="009A605F">
      <w:pPr>
        <w:spacing w:line="240" w:lineRule="auto"/>
      </w:pPr>
      <w:r w:rsidRPr="00FA1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upra Light">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Seat Meta Normal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C86B" w14:textId="77777777" w:rsidR="00DF1749" w:rsidRPr="00FA1E15" w:rsidRDefault="00940F56">
    <w:pPr>
      <w:pStyle w:val="Stopka"/>
    </w:pPr>
    <w:r w:rsidRPr="00FA1E15">
      <w:rPr>
        <w:noProof/>
        <w14:textOutline w14:w="0" w14:cap="rnd" w14:cmpd="sng" w14:algn="ctr">
          <w14:noFill/>
          <w14:prstDash w14:val="solid"/>
          <w14:bevel/>
        </w14:textOutline>
      </w:rPr>
      <mc:AlternateContent>
        <mc:Choice Requires="wps">
          <w:drawing>
            <wp:anchor distT="0" distB="0" distL="0" distR="0" simplePos="0" relativeHeight="251666432" behindDoc="0" locked="0" layoutInCell="1" allowOverlap="1" wp14:anchorId="41065368" wp14:editId="2ABA8876">
              <wp:simplePos x="635" y="635"/>
              <wp:positionH relativeFrom="page">
                <wp:align>left</wp:align>
              </wp:positionH>
              <wp:positionV relativeFrom="page">
                <wp:align>bottom</wp:align>
              </wp:positionV>
              <wp:extent cx="756920" cy="342900"/>
              <wp:effectExtent l="0" t="0" r="5080" b="0"/>
              <wp:wrapNone/>
              <wp:docPr id="1481350196" name="Pole tekstow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a:effectLst/>
                      <a:sp3d/>
                    </wps:spPr>
                    <wps:txbx>
                      <w:txbxContent>
                        <w:p w14:paraId="4A7FD45E" w14:textId="77777777" w:rsidR="00DF1749" w:rsidRPr="00FA1E15" w:rsidRDefault="00940F56" w:rsidP="001E1254">
                          <w:pPr>
                            <w:rPr>
                              <w:rFonts w:eastAsia="Arial" w:cs="Arial"/>
                              <w:sz w:val="16"/>
                              <w:szCs w:val="16"/>
                            </w:rPr>
                          </w:pPr>
                          <w:r w:rsidRPr="00FA1E15">
                            <w:rPr>
                              <w:rFonts w:eastAsia="Arial" w:cs="Arial"/>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1065368" id="_x0000_t202" coordsize="21600,21600" o:spt="202" path="m,l,21600r21600,l21600,xe">
              <v:stroke joinstyle="miter"/>
              <v:path gradientshapeok="t" o:connecttype="rect"/>
            </v:shapetype>
            <v:shape id="Pole tekstowe 2" o:spid="_x0000_s1026" type="#_x0000_t202" alt="INTERNAL" style="position:absolute;margin-left:0;margin-top:0;width:59.6pt;height:27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YWHAIAADUEAAAOAAAAZHJzL2Uyb0RvYy54bWysU11v2jAUfZ+0/2D5fSRA6UpEqFgrpkmo&#10;rUSnPhvHJpFsX8s2JOzX79oJsHV7mvbi3K9c33vO8eK+04ochfMNmJKORzklwnCoGrMv6ffX9ac7&#10;SnxgpmIKjCjpSXh6v/z4YdHaQkygBlUJR7CJ8UVrS1qHYIss87wWmvkRWGEwKcFpFtB1+6xyrMXu&#10;WmWTPL/NWnCVdcCF9xh97JN0mfpLKXh4ltKLQFRJcbaQTpfOXTyz5YIVe8ds3fBhDPYPU2jWGLz0&#10;0uqRBUYOrvmjlW64Aw8yjDjoDKRsuEg74Dbj/N0225pZkXZBcLy9wOT/X1v+dNzaF0dC9wU6JDAC&#10;0lpfeAzGfTrpdPzipATzCOHpApvoAuEY/Dy7nU8wwzE1vZnM8wRrdv3ZOh++CtAkGiV1yEoCix03&#10;PuCFWHouiXcZWDdKJWaU+S2AhX1EJGr7vxkOO61im+vg0Qrdrhu22UF1wiUd9Px7y9cNjrJhPrww&#10;h4SPaRRxeMZDKmhLCoNFSQ3ux9/isR55wCwlLQqopAYVTon6ZpCfyewmRxxISB4a7mzskjGe57OY&#10;Nwf9AKhNHACnSub0bhwzLqjkoikd6DfU+SreiD4zHO8t6e5sPoRe0vhOuFitUhHqy7KwMVvLY/uI&#10;YwT5tXtjzg5MBKTwCc4yY8U7Qvra+Ke3q0NAWhJbEdwe0QFz1GYicXhHUfy/+qnq+tqXPwEAAP//&#10;AwBQSwMEFAAGAAgAAAAhAKmk/lLaAAAABAEAAA8AAABkcnMvZG93bnJldi54bWxMj81OwzAQhO9I&#10;fQdrkbhRpxFEEOJUVflRrwQkODrxNo4ar0PWbcPb4/ZSLiuNZjTzbbGcXC8OOHLnScFinoBAarzp&#10;qFXw+fF6+wCCgyaje0+o4BcZluXsqtC58Ud6x0MVWhFLiHOtwIYw5FJyY9FpnvsBKXpbPzodohxb&#10;aUZ9jOWul2mSZNLpjuKC1QOuLTa7au8UZM9vKzt8Zd8/25Q3XPtdqPyLUjfX0+oJRMApXMJwwo/o&#10;UEam2u/JsOgVxEfC+Z68xWMKolZwf5eALAv5H778AwAA//8DAFBLAQItABQABgAIAAAAIQC2gziS&#10;/gAAAOEBAAATAAAAAAAAAAAAAAAAAAAAAABbQ29udGVudF9UeXBlc10ueG1sUEsBAi0AFAAGAAgA&#10;AAAhADj9If/WAAAAlAEAAAsAAAAAAAAAAAAAAAAALwEAAF9yZWxzLy5yZWxzUEsBAi0AFAAGAAgA&#10;AAAhAEOA5hYcAgAANQQAAA4AAAAAAAAAAAAAAAAALgIAAGRycy9lMm9Eb2MueG1sUEsBAi0AFAAG&#10;AAgAAAAhAKmk/lLaAAAABAEAAA8AAAAAAAAAAAAAAAAAdgQAAGRycy9kb3ducmV2LnhtbFBLBQYA&#10;AAAABAAEAPMAAAB9BQAAAAA=&#10;" filled="f" stroked="f">
              <v:textbox style="mso-fit-shape-to-text:t" inset="20pt,0,0,15pt">
                <w:txbxContent>
                  <w:p w14:paraId="4A7FD45E" w14:textId="77777777" w:rsidR="00DF1749" w:rsidRPr="00FA1E15" w:rsidRDefault="00940F56" w:rsidP="001E1254">
                    <w:pPr>
                      <w:rPr>
                        <w:rFonts w:eastAsia="Arial" w:cs="Arial"/>
                        <w:sz w:val="16"/>
                        <w:szCs w:val="16"/>
                      </w:rPr>
                    </w:pPr>
                    <w:r w:rsidRPr="00FA1E15">
                      <w:rPr>
                        <w:rFonts w:eastAsia="Arial" w:cs="Arial"/>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A877" w14:textId="77777777" w:rsidR="00DF1749" w:rsidRPr="00FA1E15" w:rsidRDefault="00940F56">
    <w:pPr>
      <w:pStyle w:val="Stopka"/>
    </w:pPr>
    <w:r w:rsidRPr="00FA1E15">
      <w:rPr>
        <w:noProof/>
        <w14:textOutline w14:w="0" w14:cap="rnd" w14:cmpd="sng" w14:algn="ctr">
          <w14:noFill/>
          <w14:prstDash w14:val="solid"/>
          <w14:bevel/>
        </w14:textOutline>
      </w:rPr>
      <mc:AlternateContent>
        <mc:Choice Requires="wps">
          <w:drawing>
            <wp:anchor distT="0" distB="0" distL="0" distR="0" simplePos="0" relativeHeight="251665408" behindDoc="0" locked="0" layoutInCell="1" allowOverlap="1" wp14:anchorId="5111DBE0" wp14:editId="352D0561">
              <wp:simplePos x="635" y="635"/>
              <wp:positionH relativeFrom="page">
                <wp:align>left</wp:align>
              </wp:positionH>
              <wp:positionV relativeFrom="page">
                <wp:align>bottom</wp:align>
              </wp:positionV>
              <wp:extent cx="756920" cy="342900"/>
              <wp:effectExtent l="0" t="0" r="5080" b="0"/>
              <wp:wrapNone/>
              <wp:docPr id="310364298" name="Pole tekstow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42900"/>
                      </a:xfrm>
                      <a:prstGeom prst="rect">
                        <a:avLst/>
                      </a:prstGeom>
                      <a:noFill/>
                      <a:ln>
                        <a:noFill/>
                      </a:ln>
                      <a:effectLst/>
                      <a:sp3d/>
                    </wps:spPr>
                    <wps:txbx>
                      <w:txbxContent>
                        <w:p w14:paraId="7BC1B4D0" w14:textId="77777777" w:rsidR="00DF1749" w:rsidRPr="00FA1E15" w:rsidRDefault="00940F56" w:rsidP="001E1254">
                          <w:pPr>
                            <w:rPr>
                              <w:rFonts w:eastAsia="Arial" w:cs="Arial"/>
                              <w:sz w:val="16"/>
                              <w:szCs w:val="16"/>
                            </w:rPr>
                          </w:pPr>
                          <w:r w:rsidRPr="00FA1E15">
                            <w:rPr>
                              <w:rFonts w:eastAsia="Arial" w:cs="Arial"/>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5111DBE0" id="_x0000_t202" coordsize="21600,21600" o:spt="202" path="m,l,21600r21600,l21600,xe">
              <v:stroke joinstyle="miter"/>
              <v:path gradientshapeok="t" o:connecttype="rect"/>
            </v:shapetype>
            <v:shape id="Pole tekstowe 1" o:spid="_x0000_s1027" type="#_x0000_t202" alt="INTERNAL" style="position:absolute;margin-left:0;margin-top:0;width:59.6pt;height:27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3gbHwIAADwEAAAOAAAAZHJzL2Uyb0RvYy54bWysU11v2jAUfZ+0/2D5fSRA6QoiVKwV0yTU&#10;VqJTn43jkEiJr2UbEvbrd+wA/diepr049yvX955zPL/tmpodlHUV6YwPBylnSkvKK73L+M/n1Zcb&#10;zpwXOhc1aZXxo3L8dvH507w1MzWikupcWYYm2s1ak/HSezNLEidL1Qg3IKM0kgXZRni4dpfkVrTo&#10;3tTJKE2vk5ZsbixJ5Ryi932SL2L/olDSPxaFU57VGcdsPp42nttwJou5mO2sMGUlT2OIf5iiEZXG&#10;pZdW98ILtrfVH62aSlpyVPiBpCahoqikijtgm2H6YZtNKYyKuwAcZy4wuf/XVj4cNubJMt99ow4E&#10;BkBa42YOwbBPV9gmfDEpQx4QHi+wqc4zieDXyfV0hIxEanw1mqYR1uT1Z2Od/66oYcHIuAUrESxx&#10;WDuPC1F6Lgl3aVpVdR2ZqfW7AAr7iIrU9n8LDDvOQ5vXwYPlu23HqvzNUlvKj9jVUi8DZ+SqwkRr&#10;4fyTsOB9yIOW/SOOoqY243SyOCvJ/vpbPNSDDmQ5a6GjjGsInbP6hwZNo8lVCjiYjx4Meza20RhO&#10;00nI631zR5AoBsBU0RzfDEPG+jq6MAtLzQvkvgw3whda4t6Mb8/mne+Vjeci1XIZiyAzI/xab4wM&#10;7QOcAevn7kVYcyLEg8kHOqtNzD7w0teGP51Z7j3YiaQFjHtET9BDopHL03MKb+CtH6teH/3iNwAA&#10;AP//AwBQSwMEFAAGAAgAAAAhAKmk/lLaAAAABAEAAA8AAABkcnMvZG93bnJldi54bWxMj81OwzAQ&#10;hO9IfQdrkbhRpxFEEOJUVflRrwQkODrxNo4ar0PWbcPb4/ZSLiuNZjTzbbGcXC8OOHLnScFinoBA&#10;arzpqFXw+fF6+wCCgyaje0+o4BcZluXsqtC58Ud6x0MVWhFLiHOtwIYw5FJyY9FpnvsBKXpbPzod&#10;ohxbaUZ9jOWul2mSZNLpjuKC1QOuLTa7au8UZM9vKzt8Zd8/25Q3XPtdqPyLUjfX0+oJRMApXMJw&#10;wo/oUEam2u/JsOgVxEfC+Z68xWMKolZwf5eALAv5H778AwAA//8DAFBLAQItABQABgAIAAAAIQC2&#10;gziS/gAAAOEBAAATAAAAAAAAAAAAAAAAAAAAAABbQ29udGVudF9UeXBlc10ueG1sUEsBAi0AFAAG&#10;AAgAAAAhADj9If/WAAAAlAEAAAsAAAAAAAAAAAAAAAAALwEAAF9yZWxzLy5yZWxzUEsBAi0AFAAG&#10;AAgAAAAhAHaLeBsfAgAAPAQAAA4AAAAAAAAAAAAAAAAALgIAAGRycy9lMm9Eb2MueG1sUEsBAi0A&#10;FAAGAAgAAAAhAKmk/lLaAAAABAEAAA8AAAAAAAAAAAAAAAAAeQQAAGRycy9kb3ducmV2LnhtbFBL&#10;BQYAAAAABAAEAPMAAACABQAAAAA=&#10;" filled="f" stroked="f">
              <v:textbox style="mso-fit-shape-to-text:t" inset="20pt,0,0,15pt">
                <w:txbxContent>
                  <w:p w14:paraId="7BC1B4D0" w14:textId="77777777" w:rsidR="00DF1749" w:rsidRPr="00FA1E15" w:rsidRDefault="00940F56" w:rsidP="001E1254">
                    <w:pPr>
                      <w:rPr>
                        <w:rFonts w:eastAsia="Arial" w:cs="Arial"/>
                        <w:sz w:val="16"/>
                        <w:szCs w:val="16"/>
                      </w:rPr>
                    </w:pPr>
                    <w:r w:rsidRPr="00FA1E15">
                      <w:rPr>
                        <w:rFonts w:eastAsia="Arial" w:cs="Arial"/>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4D5E" w14:textId="77777777" w:rsidR="009A605F" w:rsidRPr="00FA1E15" w:rsidRDefault="009A605F">
      <w:pPr>
        <w:spacing w:line="240" w:lineRule="auto"/>
      </w:pPr>
      <w:r w:rsidRPr="00FA1E15">
        <w:separator/>
      </w:r>
    </w:p>
  </w:footnote>
  <w:footnote w:type="continuationSeparator" w:id="0">
    <w:p w14:paraId="43AF8963" w14:textId="77777777" w:rsidR="009A605F" w:rsidRPr="00FA1E15" w:rsidRDefault="009A605F">
      <w:pPr>
        <w:spacing w:line="240" w:lineRule="auto"/>
      </w:pPr>
      <w:r w:rsidRPr="00FA1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AF5" w14:textId="4A778E41" w:rsidR="00DF1749" w:rsidRPr="00FA1E15" w:rsidRDefault="00940F56">
    <w:pPr>
      <w:pStyle w:val="Nagwek"/>
      <w:rPr>
        <w:lang w:val="pl-PL"/>
      </w:rPr>
    </w:pPr>
    <w:r w:rsidRPr="00FA1E15">
      <w:rPr>
        <w:rFonts w:ascii="Seat Meta Normal Roman" w:eastAsia="Seat Meta Normal Roman" w:hAnsi="Seat Meta Normal Roman" w:cs="Seat Meta Normal Roman"/>
        <w:noProof/>
        <w:lang w:val="pl-PL"/>
      </w:rPr>
      <w:drawing>
        <wp:anchor distT="0" distB="0" distL="114300" distR="114300" simplePos="0" relativeHeight="251664384" behindDoc="1" locked="0" layoutInCell="1" allowOverlap="1" wp14:anchorId="6577CB8E" wp14:editId="3FC8E838">
          <wp:simplePos x="0" y="0"/>
          <wp:positionH relativeFrom="page">
            <wp:align>center</wp:align>
          </wp:positionH>
          <wp:positionV relativeFrom="paragraph">
            <wp:posOffset>257175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9524C"/>
    <w:multiLevelType w:val="hybridMultilevel"/>
    <w:tmpl w:val="FC38A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D9E645F"/>
    <w:multiLevelType w:val="multilevel"/>
    <w:tmpl w:val="A666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727862">
    <w:abstractNumId w:val="0"/>
  </w:num>
  <w:num w:numId="2" w16cid:durableId="153854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FC"/>
    <w:rsid w:val="00046996"/>
    <w:rsid w:val="001C77F3"/>
    <w:rsid w:val="004C46AD"/>
    <w:rsid w:val="004D7698"/>
    <w:rsid w:val="0051035B"/>
    <w:rsid w:val="005865CA"/>
    <w:rsid w:val="005971EF"/>
    <w:rsid w:val="005E210A"/>
    <w:rsid w:val="00615999"/>
    <w:rsid w:val="00646B40"/>
    <w:rsid w:val="0069503F"/>
    <w:rsid w:val="006D76BF"/>
    <w:rsid w:val="007834C8"/>
    <w:rsid w:val="00795881"/>
    <w:rsid w:val="007D6691"/>
    <w:rsid w:val="00923AFC"/>
    <w:rsid w:val="00940F56"/>
    <w:rsid w:val="00954CA5"/>
    <w:rsid w:val="00983889"/>
    <w:rsid w:val="009A605F"/>
    <w:rsid w:val="00AB457E"/>
    <w:rsid w:val="00B26DAA"/>
    <w:rsid w:val="00B96A73"/>
    <w:rsid w:val="00C020F8"/>
    <w:rsid w:val="00CE00F5"/>
    <w:rsid w:val="00CE703A"/>
    <w:rsid w:val="00CF6E51"/>
    <w:rsid w:val="00D66825"/>
    <w:rsid w:val="00DF1749"/>
    <w:rsid w:val="00E32568"/>
    <w:rsid w:val="00E7686B"/>
    <w:rsid w:val="00F72B4E"/>
    <w:rsid w:val="00FA1E15"/>
    <w:rsid w:val="00FE58DD"/>
    <w:rsid w:val="14263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F8CB5"/>
  <w15:chartTrackingRefBased/>
  <w15:docId w15:val="{9341BE42-6356-45A2-8E96-3E069DF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AFC"/>
    <w:pPr>
      <w:pBdr>
        <w:top w:val="nil"/>
        <w:left w:val="nil"/>
        <w:bottom w:val="nil"/>
        <w:right w:val="nil"/>
        <w:between w:val="nil"/>
        <w:bar w:val="nil"/>
      </w:pBdr>
      <w:spacing w:after="0" w:line="240" w:lineRule="atLeast"/>
    </w:pPr>
    <w:rPr>
      <w:rFonts w:ascii="Arial" w:eastAsia="Arial Unicode MS" w:hAnsi="Arial" w:cs="Arial Unicode MS"/>
      <w:color w:val="000000"/>
      <w:kern w:val="0"/>
      <w:sz w:val="20"/>
      <w:szCs w:val="20"/>
      <w:u w:color="000000"/>
      <w:bdr w:val="nil"/>
      <w:lang w:eastAsia="pl-PL"/>
      <w14:textOutline w14:w="12700" w14:cap="flat" w14:cmpd="sng" w14:algn="ctr">
        <w14:noFill/>
        <w14:prstDash w14:val="solid"/>
        <w14:miter w14:lim="400000"/>
      </w14:textOutline>
      <w14:ligatures w14:val="none"/>
    </w:rPr>
  </w:style>
  <w:style w:type="paragraph" w:styleId="Nagwek1">
    <w:name w:val="heading 1"/>
    <w:basedOn w:val="Normalny"/>
    <w:next w:val="Normalny"/>
    <w:link w:val="Nagwek1Znak"/>
    <w:uiPriority w:val="9"/>
    <w:qFormat/>
    <w:rsid w:val="0092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2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23A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23A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23A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23AF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23AF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23AF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23AF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3A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23A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23A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23A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23A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23A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23A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23A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23AFC"/>
    <w:rPr>
      <w:rFonts w:eastAsiaTheme="majorEastAsia" w:cstheme="majorBidi"/>
      <w:color w:val="272727" w:themeColor="text1" w:themeTint="D8"/>
    </w:rPr>
  </w:style>
  <w:style w:type="paragraph" w:styleId="Tytu">
    <w:name w:val="Title"/>
    <w:basedOn w:val="Normalny"/>
    <w:next w:val="Normalny"/>
    <w:link w:val="TytuZnak"/>
    <w:uiPriority w:val="10"/>
    <w:qFormat/>
    <w:rsid w:val="00923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23A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3A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3A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3AFC"/>
    <w:pPr>
      <w:spacing w:before="160"/>
      <w:jc w:val="center"/>
    </w:pPr>
    <w:rPr>
      <w:i/>
      <w:iCs/>
      <w:color w:val="404040" w:themeColor="text1" w:themeTint="BF"/>
    </w:rPr>
  </w:style>
  <w:style w:type="character" w:customStyle="1" w:styleId="CytatZnak">
    <w:name w:val="Cytat Znak"/>
    <w:basedOn w:val="Domylnaczcionkaakapitu"/>
    <w:link w:val="Cytat"/>
    <w:uiPriority w:val="29"/>
    <w:rsid w:val="00923AFC"/>
    <w:rPr>
      <w:i/>
      <w:iCs/>
      <w:color w:val="404040" w:themeColor="text1" w:themeTint="BF"/>
    </w:rPr>
  </w:style>
  <w:style w:type="paragraph" w:styleId="Akapitzlist">
    <w:name w:val="List Paragraph"/>
    <w:basedOn w:val="Normalny"/>
    <w:uiPriority w:val="34"/>
    <w:qFormat/>
    <w:rsid w:val="00923AFC"/>
    <w:pPr>
      <w:ind w:left="720"/>
      <w:contextualSpacing/>
    </w:pPr>
  </w:style>
  <w:style w:type="character" w:styleId="Wyrnienieintensywne">
    <w:name w:val="Intense Emphasis"/>
    <w:basedOn w:val="Domylnaczcionkaakapitu"/>
    <w:uiPriority w:val="21"/>
    <w:qFormat/>
    <w:rsid w:val="00923AFC"/>
    <w:rPr>
      <w:i/>
      <w:iCs/>
      <w:color w:val="0F4761" w:themeColor="accent1" w:themeShade="BF"/>
    </w:rPr>
  </w:style>
  <w:style w:type="paragraph" w:styleId="Cytatintensywny">
    <w:name w:val="Intense Quote"/>
    <w:basedOn w:val="Normalny"/>
    <w:next w:val="Normalny"/>
    <w:link w:val="CytatintensywnyZnak"/>
    <w:uiPriority w:val="30"/>
    <w:qFormat/>
    <w:rsid w:val="0092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23AFC"/>
    <w:rPr>
      <w:i/>
      <w:iCs/>
      <w:color w:val="0F4761" w:themeColor="accent1" w:themeShade="BF"/>
    </w:rPr>
  </w:style>
  <w:style w:type="character" w:styleId="Odwoanieintensywne">
    <w:name w:val="Intense Reference"/>
    <w:basedOn w:val="Domylnaczcionkaakapitu"/>
    <w:uiPriority w:val="32"/>
    <w:qFormat/>
    <w:rsid w:val="00923AFC"/>
    <w:rPr>
      <w:b/>
      <w:bCs/>
      <w:smallCaps/>
      <w:color w:val="0F4761" w:themeColor="accent1" w:themeShade="BF"/>
      <w:spacing w:val="5"/>
    </w:rPr>
  </w:style>
  <w:style w:type="character" w:styleId="Hipercze">
    <w:name w:val="Hyperlink"/>
    <w:rsid w:val="00923AFC"/>
    <w:rPr>
      <w:u w:val="single"/>
    </w:rPr>
  </w:style>
  <w:style w:type="paragraph" w:styleId="Nagwek">
    <w:name w:val="header"/>
    <w:link w:val="NagwekZnak"/>
    <w:rsid w:val="00923AFC"/>
    <w:pPr>
      <w:pBdr>
        <w:top w:val="nil"/>
        <w:left w:val="nil"/>
        <w:bottom w:val="nil"/>
        <w:right w:val="nil"/>
        <w:between w:val="nil"/>
        <w:bar w:val="nil"/>
      </w:pBdr>
      <w:spacing w:after="0" w:line="240" w:lineRule="exact"/>
    </w:pPr>
    <w:rPr>
      <w:rFonts w:ascii="Calibri" w:eastAsia="Arial Unicode MS" w:hAnsi="Calibri" w:cs="Arial Unicode MS"/>
      <w:color w:val="000000"/>
      <w:kern w:val="0"/>
      <w:sz w:val="20"/>
      <w:szCs w:val="20"/>
      <w:u w:color="000000"/>
      <w:bdr w:val="nil"/>
      <w:lang w:val="en-US" w:eastAsia="pl-PL"/>
      <w14:ligatures w14:val="none"/>
    </w:rPr>
  </w:style>
  <w:style w:type="character" w:customStyle="1" w:styleId="NagwekZnak">
    <w:name w:val="Nagłówek Znak"/>
    <w:basedOn w:val="Domylnaczcionkaakapitu"/>
    <w:link w:val="Nagwek"/>
    <w:rsid w:val="00923AFC"/>
    <w:rPr>
      <w:rFonts w:ascii="Calibri" w:eastAsia="Arial Unicode MS" w:hAnsi="Calibri" w:cs="Arial Unicode MS"/>
      <w:color w:val="000000"/>
      <w:kern w:val="0"/>
      <w:sz w:val="20"/>
      <w:szCs w:val="20"/>
      <w:u w:color="000000"/>
      <w:bdr w:val="nil"/>
      <w:lang w:val="en-US" w:eastAsia="pl-PL"/>
      <w14:ligatures w14:val="none"/>
    </w:rPr>
  </w:style>
  <w:style w:type="character" w:customStyle="1" w:styleId="Brak">
    <w:name w:val="Brak"/>
    <w:rsid w:val="00923AFC"/>
  </w:style>
  <w:style w:type="paragraph" w:customStyle="1" w:styleId="paragraph">
    <w:name w:val="paragraph"/>
    <w:rsid w:val="00923AFC"/>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kern w:val="0"/>
      <w:sz w:val="24"/>
      <w:szCs w:val="24"/>
      <w:u w:color="000000"/>
      <w:bdr w:val="nil"/>
      <w:lang w:eastAsia="pl-PL"/>
      <w14:ligatures w14:val="none"/>
    </w:rPr>
  </w:style>
  <w:style w:type="character" w:customStyle="1" w:styleId="Hyperlink1">
    <w:name w:val="Hyperlink.1"/>
    <w:basedOn w:val="Brak"/>
    <w:rsid w:val="00923AFC"/>
    <w:rPr>
      <w:rFonts w:ascii="Corbel" w:eastAsia="Corbel" w:hAnsi="Corbel" w:cs="Corbel"/>
      <w:outline w:val="0"/>
      <w:color w:val="0563C1"/>
      <w:sz w:val="18"/>
      <w:szCs w:val="18"/>
      <w:u w:val="single" w:color="0563C1"/>
    </w:rPr>
  </w:style>
  <w:style w:type="character" w:customStyle="1" w:styleId="Hyperlink2">
    <w:name w:val="Hyperlink.2"/>
    <w:basedOn w:val="Brak"/>
    <w:rsid w:val="00923AFC"/>
    <w:rPr>
      <w:rFonts w:ascii="Corbel" w:eastAsia="Corbel" w:hAnsi="Corbel" w:cs="Corbel"/>
      <w:outline w:val="0"/>
      <w:color w:val="0563C1"/>
      <w:sz w:val="18"/>
      <w:szCs w:val="18"/>
      <w:u w:val="single" w:color="0563C1"/>
      <w:lang w:val="sv-SE"/>
    </w:rPr>
  </w:style>
  <w:style w:type="paragraph" w:styleId="Stopka">
    <w:name w:val="footer"/>
    <w:basedOn w:val="Normalny"/>
    <w:link w:val="StopkaZnak"/>
    <w:uiPriority w:val="99"/>
    <w:unhideWhenUsed/>
    <w:rsid w:val="00923AFC"/>
    <w:pPr>
      <w:tabs>
        <w:tab w:val="center" w:pos="4536"/>
        <w:tab w:val="right" w:pos="9072"/>
      </w:tabs>
      <w:spacing w:line="240" w:lineRule="auto"/>
    </w:pPr>
  </w:style>
  <w:style w:type="character" w:customStyle="1" w:styleId="StopkaZnak">
    <w:name w:val="Stopka Znak"/>
    <w:basedOn w:val="Domylnaczcionkaakapitu"/>
    <w:link w:val="Stopka"/>
    <w:uiPriority w:val="99"/>
    <w:rsid w:val="00923AFC"/>
    <w:rPr>
      <w:rFonts w:ascii="Arial" w:eastAsia="Arial Unicode MS" w:hAnsi="Arial" w:cs="Arial Unicode MS"/>
      <w:color w:val="000000"/>
      <w:kern w:val="0"/>
      <w:sz w:val="20"/>
      <w:szCs w:val="20"/>
      <w:u w:color="000000"/>
      <w:bdr w:val="nil"/>
      <w:lang w:val="de-DE" w:eastAsia="pl-PL"/>
      <w14:textOutline w14:w="12700" w14:cap="flat" w14:cmpd="sng" w14:algn="ctr">
        <w14:noFill/>
        <w14:prstDash w14:val="solid"/>
        <w14:miter w14:lim="400000"/>
      </w14:textOutline>
      <w14:ligatures w14:val="none"/>
    </w:rPr>
  </w:style>
  <w:style w:type="character" w:styleId="Odwoaniedokomentarza">
    <w:name w:val="annotation reference"/>
    <w:basedOn w:val="Domylnaczcionkaakapitu"/>
    <w:uiPriority w:val="99"/>
    <w:semiHidden/>
    <w:unhideWhenUsed/>
    <w:rsid w:val="00AB457E"/>
    <w:rPr>
      <w:sz w:val="16"/>
      <w:szCs w:val="16"/>
    </w:rPr>
  </w:style>
  <w:style w:type="paragraph" w:styleId="Tekstkomentarza">
    <w:name w:val="annotation text"/>
    <w:basedOn w:val="Normalny"/>
    <w:link w:val="TekstkomentarzaZnak"/>
    <w:uiPriority w:val="99"/>
    <w:unhideWhenUsed/>
    <w:rsid w:val="00AB457E"/>
    <w:pPr>
      <w:spacing w:line="240" w:lineRule="auto"/>
    </w:pPr>
  </w:style>
  <w:style w:type="character" w:customStyle="1" w:styleId="TekstkomentarzaZnak">
    <w:name w:val="Tekst komentarza Znak"/>
    <w:basedOn w:val="Domylnaczcionkaakapitu"/>
    <w:link w:val="Tekstkomentarza"/>
    <w:uiPriority w:val="99"/>
    <w:rsid w:val="00AB457E"/>
    <w:rPr>
      <w:rFonts w:ascii="Arial" w:eastAsia="Arial Unicode MS" w:hAnsi="Arial" w:cs="Arial Unicode MS"/>
      <w:color w:val="000000"/>
      <w:kern w:val="0"/>
      <w:sz w:val="20"/>
      <w:szCs w:val="20"/>
      <w:u w:color="000000"/>
      <w:bdr w:val="nil"/>
      <w:lang w:val="de-DE" w:eastAsia="pl-PL"/>
      <w14:textOutline w14:w="12700" w14:cap="flat" w14:cmpd="sng" w14:algn="ctr">
        <w14:noFill/>
        <w14:prstDash w14:val="solid"/>
        <w14:miter w14:lim="400000"/>
      </w14:textOutline>
      <w14:ligatures w14:val="none"/>
    </w:rPr>
  </w:style>
  <w:style w:type="paragraph" w:styleId="Tematkomentarza">
    <w:name w:val="annotation subject"/>
    <w:basedOn w:val="Tekstkomentarza"/>
    <w:next w:val="Tekstkomentarza"/>
    <w:link w:val="TematkomentarzaZnak"/>
    <w:uiPriority w:val="99"/>
    <w:semiHidden/>
    <w:unhideWhenUsed/>
    <w:rsid w:val="00AB457E"/>
    <w:rPr>
      <w:b/>
      <w:bCs/>
    </w:rPr>
  </w:style>
  <w:style w:type="character" w:customStyle="1" w:styleId="TematkomentarzaZnak">
    <w:name w:val="Temat komentarza Znak"/>
    <w:basedOn w:val="TekstkomentarzaZnak"/>
    <w:link w:val="Tematkomentarza"/>
    <w:uiPriority w:val="99"/>
    <w:semiHidden/>
    <w:rsid w:val="00AB457E"/>
    <w:rPr>
      <w:rFonts w:ascii="Arial" w:eastAsia="Arial Unicode MS" w:hAnsi="Arial" w:cs="Arial Unicode MS"/>
      <w:b/>
      <w:bCs/>
      <w:color w:val="000000"/>
      <w:kern w:val="0"/>
      <w:sz w:val="20"/>
      <w:szCs w:val="20"/>
      <w:u w:color="000000"/>
      <w:bdr w:val="nil"/>
      <w:lang w:val="de-DE" w:eastAsia="pl-PL"/>
      <w14:textOutline w14:w="12700" w14:cap="flat" w14:cmpd="sng" w14:algn="ctr">
        <w14:noFill/>
        <w14:prstDash w14:val="solid"/>
        <w14:miter w14:lim="400000"/>
      </w14:textOutline>
      <w14:ligatures w14:val="none"/>
    </w:rPr>
  </w:style>
  <w:style w:type="paragraph" w:styleId="NormalnyWeb">
    <w:name w:val="Normal (Web)"/>
    <w:basedOn w:val="Normalny"/>
    <w:uiPriority w:val="99"/>
    <w:semiHidden/>
    <w:unhideWhenUsed/>
    <w:rsid w:val="001C77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medi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praofficia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tmedi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897</Words>
  <Characters>5388</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Maruszak-Kosińska</dc:creator>
  <cp:keywords/>
  <dc:description/>
  <cp:lastModifiedBy>Paweł Tamioła</cp:lastModifiedBy>
  <cp:revision>18</cp:revision>
  <cp:lastPrinted>2025-11-19T12:59:00Z</cp:lastPrinted>
  <dcterms:created xsi:type="dcterms:W3CDTF">2025-10-28T15:39:00Z</dcterms:created>
  <dcterms:modified xsi:type="dcterms:W3CDTF">2025-11-19T13:08:00Z</dcterms:modified>
</cp:coreProperties>
</file>