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Direct Sans" w:cs="Direct Sans" w:eastAsia="Direct Sans" w:hAnsi="Direct Sans"/>
          <w:i w:val="1"/>
          <w:iCs w:val="1"/>
          <w:color w:val="004033"/>
          <w:sz w:val="32"/>
          <w:szCs w:val="32"/>
        </w:rPr>
      </w:pPr>
      <w:r w:rsidDel="00000000" w:rsidR="00000000" w:rsidRPr="00000000">
        <w:rPr>
          <w:rtl w:val="0"/>
        </w:rPr>
      </w:r>
    </w:p>
    <w:p w:rsidR="00000000" w:rsidDel="00000000" w:rsidP="00000000" w:rsidRDefault="00000000" w:rsidRPr="00000000" w14:paraId="00000002">
      <w:pPr>
        <w:spacing w:line="192" w:lineRule="auto"/>
        <w:ind w:right="851"/>
        <w:rPr>
          <w:rFonts w:ascii="Direct Sans Semibold" w:cs="Direct Sans Semibold" w:eastAsia="Direct Sans Semibold" w:hAnsi="Direct Sans Semibold"/>
          <w:b w:val="1"/>
          <w:bCs w:val="1"/>
          <w:color w:val="004033"/>
          <w:sz w:val="60"/>
          <w:szCs w:val="60"/>
        </w:rPr>
      </w:pPr>
      <w:r w:rsidDel="00000000" w:rsidR="00000000" w:rsidRPr="00000000">
        <w:rPr>
          <w:rFonts w:ascii="Direct Sans Semibold" w:cs="Direct Sans Semibold" w:eastAsia="Direct Sans Semibold" w:hAnsi="Direct Sans Semibold"/>
          <w:b w:val="1"/>
          <w:bCs w:val="1"/>
          <w:color w:val="004033"/>
          <w:sz w:val="60"/>
          <w:szCs w:val="60"/>
          <w:rtl w:val="0"/>
        </w:rPr>
        <w:t xml:space="preserve">Kdo investuje pravidelně, bude u Direct Fondee investovat levněji. Platforma zavádí prémiové účty</w:t>
      </w:r>
    </w:p>
    <w:p w:rsidR="00000000" w:rsidDel="00000000" w:rsidP="00000000" w:rsidRDefault="00000000" w:rsidRPr="00000000" w14:paraId="00000003">
      <w:pPr>
        <w:spacing w:before="240" w:line="192" w:lineRule="auto"/>
        <w:ind w:right="851"/>
        <w:rPr>
          <w:rFonts w:ascii="Direct Sans Medium" w:cs="Direct Sans Medium" w:eastAsia="Direct Sans Medium" w:hAnsi="Direct Sans Medium"/>
          <w:color w:val="004033"/>
          <w:sz w:val="72"/>
          <w:szCs w:val="72"/>
        </w:rPr>
      </w:pPr>
      <w:r w:rsidDel="00000000" w:rsidR="00000000" w:rsidRPr="00000000">
        <w:rPr>
          <w:rFonts w:ascii="Direct Sans Medium" w:cs="Direct Sans Medium" w:eastAsia="Direct Sans Medium" w:hAnsi="Direct Sans Medium"/>
          <w:color w:val="004033"/>
          <w:sz w:val="36"/>
          <w:szCs w:val="36"/>
          <w:rtl w:val="0"/>
        </w:rPr>
        <w:t xml:space="preserve">Praha, 3. srpna 2026 – Dlouhodobé a pravidelné investování se stává běžnou součástí správy osobních financí. Direct Fondee na tento trend reaguje novým systémem zvýhodnění klientů, které na trhu dosud nebylo. Nižší poplatek za správu portfolia nově nezískají pouze investoři s milionovým majetkem, ale také lidé, kteří investují pravidelně. Poplatek může klesnout z 1,09 % až na 0,7 % ročně a klienti navíc získají další výhody v rámci skupiny Direct.</w:t>
      </w:r>
      <w:r w:rsidDel="00000000" w:rsidR="00000000" w:rsidRPr="00000000">
        <w:rPr>
          <w:rtl w:val="0"/>
        </w:rPr>
      </w:r>
    </w:p>
    <w:p w:rsidR="00000000" w:rsidDel="00000000" w:rsidP="00000000" w:rsidRDefault="00000000" w:rsidRPr="00000000" w14:paraId="00000004">
      <w:pPr>
        <w:spacing w:before="48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Novinka, která platí od 1. srpna, je postavená na jednoduchém principu – odměňuje nejen velikost portfolia, ale také disciplínu dlouhodobě investovat. Status Premium nebo Platinum proto mohou získat klienti dvěma způsoby: buď díky hodnotě svého portfolia, nebo pravidelným měsíčním investicím.</w:t>
      </w:r>
    </w:p>
    <w:p w:rsidR="00000000" w:rsidDel="00000000" w:rsidP="00000000" w:rsidRDefault="00000000" w:rsidRPr="00000000" w14:paraId="00000005">
      <w:pPr>
        <w:spacing w:before="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„Většina lidí nezačne investovat s milionem na účtu. Chceme proto odměnit samotný návyk pravidelně investovat, protože právě ten má z dlouhodobého pohledu největší vliv na budování majetku. Nečekáme, až klient zbohatne – podporujeme ho už na cestě k tomu,“ říká CEO Direct Fondee Laureen Höllge.</w:t>
      </w:r>
    </w:p>
    <w:p w:rsidR="00000000" w:rsidDel="00000000" w:rsidP="00000000" w:rsidRDefault="00000000" w:rsidRPr="00000000" w14:paraId="00000006">
      <w:pPr>
        <w:spacing w:before="0" w:line="240" w:lineRule="auto"/>
        <w:rPr>
          <w:rFonts w:ascii="Direct Sans" w:cs="Direct Sans" w:eastAsia="Direct Sans" w:hAnsi="Direct Sans"/>
          <w:b w:val="1"/>
          <w:bCs w:val="1"/>
          <w:color w:val="004033"/>
          <w:sz w:val="20"/>
          <w:szCs w:val="20"/>
        </w:rPr>
      </w:pPr>
      <w:r w:rsidDel="00000000" w:rsidR="00000000" w:rsidRPr="00000000">
        <w:rPr>
          <w:rFonts w:ascii="Direct Sans" w:cs="Direct Sans" w:eastAsia="Direct Sans" w:hAnsi="Direct Sans"/>
          <w:b w:val="1"/>
          <w:bCs w:val="1"/>
          <w:color w:val="004033"/>
          <w:sz w:val="20"/>
          <w:szCs w:val="20"/>
          <w:rtl w:val="0"/>
        </w:rPr>
        <w:t xml:space="preserve">Nižší poplatek i bez milionového portfolia</w:t>
      </w:r>
    </w:p>
    <w:p w:rsidR="00000000" w:rsidDel="00000000" w:rsidP="00000000" w:rsidRDefault="00000000" w:rsidRPr="00000000" w14:paraId="00000007">
      <w:pPr>
        <w:spacing w:before="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Status Premium získají klienti s portfoliem nad jeden milion korun nebo ti, kteří investují alespoň </w:t>
      </w:r>
      <w:r w:rsidDel="00000000" w:rsidR="00000000" w:rsidRPr="00000000">
        <w:rPr>
          <w:rFonts w:ascii="Direct Sans" w:cs="Direct Sans" w:eastAsia="Direct Sans" w:hAnsi="Direct Sans"/>
          <w:b w:val="1"/>
          <w:bCs w:val="1"/>
          <w:color w:val="004033"/>
          <w:sz w:val="20"/>
          <w:szCs w:val="20"/>
          <w:rtl w:val="0"/>
        </w:rPr>
        <w:t xml:space="preserve">10 000 korun</w:t>
      </w:r>
      <w:r w:rsidDel="00000000" w:rsidR="00000000" w:rsidRPr="00000000">
        <w:rPr>
          <w:rFonts w:ascii="Direct Sans" w:cs="Direct Sans" w:eastAsia="Direct Sans" w:hAnsi="Direct Sans"/>
          <w:color w:val="004033"/>
          <w:sz w:val="20"/>
          <w:szCs w:val="20"/>
          <w:rtl w:val="0"/>
        </w:rPr>
        <w:t xml:space="preserve"> měsíčně po dobu tří měsíců. Poplatek za správu se jim automaticky sníží na </w:t>
      </w:r>
      <w:r w:rsidDel="00000000" w:rsidR="00000000" w:rsidRPr="00000000">
        <w:rPr>
          <w:rFonts w:ascii="Direct Sans" w:cs="Direct Sans" w:eastAsia="Direct Sans" w:hAnsi="Direct Sans"/>
          <w:b w:val="1"/>
          <w:bCs w:val="1"/>
          <w:color w:val="004033"/>
          <w:sz w:val="20"/>
          <w:szCs w:val="20"/>
          <w:rtl w:val="0"/>
        </w:rPr>
        <w:t xml:space="preserve">0,9 % ročně</w:t>
      </w:r>
      <w:r w:rsidDel="00000000" w:rsidR="00000000" w:rsidRPr="00000000">
        <w:rPr>
          <w:rFonts w:ascii="Direct Sans" w:cs="Direct Sans" w:eastAsia="Direct Sans" w:hAnsi="Direct Sans"/>
          <w:color w:val="004033"/>
          <w:sz w:val="20"/>
          <w:szCs w:val="20"/>
          <w:rtl w:val="0"/>
        </w:rPr>
        <w:t xml:space="preserve">.</w:t>
      </w:r>
    </w:p>
    <w:p w:rsidR="00000000" w:rsidDel="00000000" w:rsidP="00000000" w:rsidRDefault="00000000" w:rsidRPr="00000000" w14:paraId="00000008">
      <w:pPr>
        <w:spacing w:after="200" w:before="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Ještě výhodnější úroveň Platinum je určena klientům s portfoliem přesahujícím tři miliony korun nebo těm, kteří pravidelně investují alespoň</w:t>
      </w:r>
      <w:r w:rsidDel="00000000" w:rsidR="00000000" w:rsidRPr="00000000">
        <w:rPr>
          <w:rFonts w:ascii="Direct Sans" w:cs="Direct Sans" w:eastAsia="Direct Sans" w:hAnsi="Direct Sans"/>
          <w:b w:val="1"/>
          <w:bCs w:val="1"/>
          <w:color w:val="004033"/>
          <w:sz w:val="20"/>
          <w:szCs w:val="20"/>
          <w:rtl w:val="0"/>
        </w:rPr>
        <w:t xml:space="preserve"> 30 000 korun</w:t>
      </w:r>
      <w:r w:rsidDel="00000000" w:rsidR="00000000" w:rsidRPr="00000000">
        <w:rPr>
          <w:rFonts w:ascii="Direct Sans" w:cs="Direct Sans" w:eastAsia="Direct Sans" w:hAnsi="Direct Sans"/>
          <w:color w:val="004033"/>
          <w:sz w:val="20"/>
          <w:szCs w:val="20"/>
          <w:rtl w:val="0"/>
        </w:rPr>
        <w:t xml:space="preserve"> měsíčně. V tomto případě činí poplatek</w:t>
      </w:r>
      <w:r w:rsidDel="00000000" w:rsidR="00000000" w:rsidRPr="00000000">
        <w:rPr>
          <w:rFonts w:ascii="Direct Sans" w:cs="Direct Sans" w:eastAsia="Direct Sans" w:hAnsi="Direct Sans"/>
          <w:b w:val="1"/>
          <w:bCs w:val="1"/>
          <w:color w:val="004033"/>
          <w:sz w:val="20"/>
          <w:szCs w:val="20"/>
          <w:rtl w:val="0"/>
        </w:rPr>
        <w:t xml:space="preserve"> 0,7 % ročně</w:t>
      </w:r>
      <w:r w:rsidDel="00000000" w:rsidR="00000000" w:rsidRPr="00000000">
        <w:rPr>
          <w:rFonts w:ascii="Direct Sans" w:cs="Direct Sans" w:eastAsia="Direct Sans" w:hAnsi="Direct Sans"/>
          <w:color w:val="004033"/>
          <w:sz w:val="20"/>
          <w:szCs w:val="20"/>
          <w:rtl w:val="0"/>
        </w:rPr>
        <w:t xml:space="preserve">. Ke změně úrovně účtu dochází automaticky a klient nemusí o nic žádat.</w:t>
      </w:r>
    </w:p>
    <w:sdt>
      <w:sdtPr>
        <w:lock w:val="contentLocked"/>
        <w:id w:val="1250594827"/>
        <w:tag w:val="goog_rdk_0"/>
      </w:sdtPr>
      <w:sdtContent>
        <w:tbl>
          <w:tblPr>
            <w:tblStyle w:val="Table1"/>
            <w:tblW w:w="9072.0" w:type="dxa"/>
            <w:jc w:val="left"/>
            <w:tblBorders>
              <w:top w:color="004033" w:space="0" w:sz="8" w:val="single"/>
              <w:left w:color="004033" w:space="0" w:sz="8" w:val="single"/>
              <w:bottom w:color="004033" w:space="0" w:sz="8" w:val="single"/>
              <w:right w:color="004033" w:space="0" w:sz="8" w:val="single"/>
              <w:insideH w:color="004033" w:space="0" w:sz="8" w:val="single"/>
              <w:insideV w:color="004033" w:space="0" w:sz="8" w:val="single"/>
            </w:tblBorders>
            <w:tblLayout w:type="fixed"/>
            <w:tblLook w:val="0600"/>
          </w:tblPr>
          <w:tblGrid>
            <w:gridCol w:w="3024"/>
            <w:gridCol w:w="3024"/>
            <w:gridCol w:w="3024"/>
            <w:tblGridChange w:id="0">
              <w:tblGrid>
                <w:gridCol w:w="3024"/>
                <w:gridCol w:w="3024"/>
                <w:gridCol w:w="302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rect Sans" w:cs="Direct Sans" w:eastAsia="Direct Sans" w:hAnsi="Direct Sans"/>
                    <w:color w:val="004033"/>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rect Sans" w:cs="Direct Sans" w:eastAsia="Direct Sans" w:hAnsi="Direct Sans"/>
                    <w:b w:val="1"/>
                    <w:bCs w:val="1"/>
                    <w:color w:val="004033"/>
                    <w:sz w:val="20"/>
                    <w:szCs w:val="20"/>
                  </w:rPr>
                </w:pPr>
                <w:r w:rsidDel="00000000" w:rsidR="00000000" w:rsidRPr="00000000">
                  <w:rPr>
                    <w:rFonts w:ascii="Direct Sans" w:cs="Direct Sans" w:eastAsia="Direct Sans" w:hAnsi="Direct Sans"/>
                    <w:b w:val="1"/>
                    <w:bCs w:val="1"/>
                    <w:color w:val="004033"/>
                    <w:sz w:val="20"/>
                    <w:szCs w:val="20"/>
                    <w:rtl w:val="0"/>
                  </w:rPr>
                  <w:t xml:space="preserve">Premium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rect Sans" w:cs="Direct Sans" w:eastAsia="Direct Sans" w:hAnsi="Direct Sans"/>
                    <w:b w:val="1"/>
                    <w:bCs w:val="1"/>
                    <w:color w:val="004033"/>
                    <w:sz w:val="20"/>
                    <w:szCs w:val="20"/>
                  </w:rPr>
                </w:pPr>
                <w:r w:rsidDel="00000000" w:rsidR="00000000" w:rsidRPr="00000000">
                  <w:rPr>
                    <w:rFonts w:ascii="Direct Sans" w:cs="Direct Sans" w:eastAsia="Direct Sans" w:hAnsi="Direct Sans"/>
                    <w:b w:val="1"/>
                    <w:bCs w:val="1"/>
                    <w:color w:val="004033"/>
                    <w:sz w:val="20"/>
                    <w:szCs w:val="20"/>
                    <w:rtl w:val="0"/>
                  </w:rPr>
                  <w:t xml:space="preserve">Platinum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Poplatek</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0,9 %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0,7 %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Za pravidelnou investici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 10 000 Kč/měsíc, 3 měsíce po sobě</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 30 000 Kč/měsíc, 3 měsíce po sobě</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rect Sans" w:cs="Direct Sans" w:eastAsia="Direct Sans" w:hAnsi="Direct Sans"/>
                    <w:color w:val="004033"/>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Nebo výši portfolia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after="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 1 milion Kč</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 3 miliony Kč</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after="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Výhody navíc</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Nacenění nemovitosti zdarma, asistence s hypotékou</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Nacenění nemovitosti zdarma, asistence s hypotékou</w:t>
                </w:r>
              </w:p>
            </w:tc>
          </w:tr>
        </w:tbl>
      </w:sdtContent>
    </w:sdt>
    <w:p w:rsidR="00000000" w:rsidDel="00000000" w:rsidP="00000000" w:rsidRDefault="00000000" w:rsidRPr="00000000" w14:paraId="00000019">
      <w:pPr>
        <w:spacing w:before="0" w:line="240" w:lineRule="auto"/>
        <w:rPr>
          <w:rFonts w:ascii="Direct Sans" w:cs="Direct Sans" w:eastAsia="Direct Sans" w:hAnsi="Direct Sans"/>
          <w:color w:val="004033"/>
          <w:sz w:val="20"/>
          <w:szCs w:val="20"/>
        </w:rPr>
      </w:pPr>
      <w:r w:rsidDel="00000000" w:rsidR="00000000" w:rsidRPr="00000000">
        <w:rPr>
          <w:rtl w:val="0"/>
        </w:rPr>
      </w:r>
    </w:p>
    <w:p w:rsidR="00000000" w:rsidDel="00000000" w:rsidP="00000000" w:rsidRDefault="00000000" w:rsidRPr="00000000" w14:paraId="0000001A">
      <w:pPr>
        <w:spacing w:before="0" w:line="240" w:lineRule="auto"/>
        <w:rPr>
          <w:rFonts w:ascii="Direct Sans" w:cs="Direct Sans" w:eastAsia="Direct Sans" w:hAnsi="Direct Sans"/>
          <w:b w:val="1"/>
          <w:bCs w:val="1"/>
          <w:color w:val="004033"/>
          <w:sz w:val="20"/>
          <w:szCs w:val="20"/>
        </w:rPr>
      </w:pPr>
      <w:r w:rsidDel="00000000" w:rsidR="00000000" w:rsidRPr="00000000">
        <w:rPr>
          <w:rFonts w:ascii="Direct Sans" w:cs="Direct Sans" w:eastAsia="Direct Sans" w:hAnsi="Direct Sans"/>
          <w:b w:val="1"/>
          <w:bCs w:val="1"/>
          <w:color w:val="004033"/>
          <w:sz w:val="20"/>
          <w:szCs w:val="20"/>
          <w:rtl w:val="0"/>
        </w:rPr>
        <w:t xml:space="preserve">Investování má být jednoduché, ne adrenalin</w:t>
      </w:r>
    </w:p>
    <w:p w:rsidR="00000000" w:rsidDel="00000000" w:rsidP="00000000" w:rsidRDefault="00000000" w:rsidRPr="00000000" w14:paraId="0000001B">
      <w:pPr>
        <w:spacing w:before="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Nové nastavení podle Direct Fondee vychází z filozofie pasivního investování, které stojí na pravidelnosti a dlouhém investičním horizontu, nikoliv na snaze odhadovat krátkodobý vývoj trhů.</w:t>
      </w:r>
    </w:p>
    <w:p w:rsidR="00000000" w:rsidDel="00000000" w:rsidP="00000000" w:rsidRDefault="00000000" w:rsidRPr="00000000" w14:paraId="0000001C">
      <w:pPr>
        <w:spacing w:before="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„Dobré investování není o hledání dalšího horkého tipu. Je o disciplíně, pravidelnosti a trpělivosti. Právě takové chování chceme motivovat. Zároveň vycházíme vstříc klientům s vyššími úsporami, kteří hledají jednoduché online řešení, férové podmínky a nechtějí platit za služby, které nevyužijí,“ doplňuje Höllge.</w:t>
      </w:r>
    </w:p>
    <w:p w:rsidR="00000000" w:rsidDel="00000000" w:rsidP="00000000" w:rsidRDefault="00000000" w:rsidRPr="00000000" w14:paraId="0000001D">
      <w:pPr>
        <w:spacing w:before="0" w:line="240" w:lineRule="auto"/>
        <w:rPr>
          <w:rFonts w:ascii="Direct Sans" w:cs="Direct Sans" w:eastAsia="Direct Sans" w:hAnsi="Direct Sans"/>
          <w:b w:val="1"/>
          <w:bCs w:val="1"/>
          <w:color w:val="004033"/>
          <w:sz w:val="20"/>
          <w:szCs w:val="20"/>
        </w:rPr>
      </w:pPr>
      <w:r w:rsidDel="00000000" w:rsidR="00000000" w:rsidRPr="00000000">
        <w:rPr>
          <w:rFonts w:ascii="Direct Sans" w:cs="Direct Sans" w:eastAsia="Direct Sans" w:hAnsi="Direct Sans"/>
          <w:b w:val="1"/>
          <w:bCs w:val="1"/>
          <w:color w:val="004033"/>
          <w:sz w:val="20"/>
          <w:szCs w:val="20"/>
          <w:rtl w:val="0"/>
        </w:rPr>
        <w:t xml:space="preserve">Výhody přesahují samotné investování</w:t>
      </w:r>
    </w:p>
    <w:p w:rsidR="00000000" w:rsidDel="00000000" w:rsidP="00000000" w:rsidRDefault="00000000" w:rsidRPr="00000000" w14:paraId="0000001E">
      <w:pPr>
        <w:spacing w:before="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Součástí účtů Premium a Platinum nejsou pouze nižší poplatky za správu portfolia. Klienti mohou bezplatně využívat také vybrané služby skupiny Direct.</w:t>
      </w:r>
    </w:p>
    <w:p w:rsidR="00000000" w:rsidDel="00000000" w:rsidP="00000000" w:rsidRDefault="00000000" w:rsidRPr="00000000" w14:paraId="0000001F">
      <w:pPr>
        <w:spacing w:before="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„Začínáme praktickými službami, které lidé řeší v různých životních situacích – například oceněním nemovitosti nebo pomocí s hypotékou v Česku i zahraničí. Do budoucna chceme nabídku postupně rozšiřovat o další služby, které lidem usnadní správu osobních financí,“ říká Höllge.</w:t>
      </w:r>
    </w:p>
    <w:p w:rsidR="00000000" w:rsidDel="00000000" w:rsidP="00000000" w:rsidRDefault="00000000" w:rsidRPr="00000000" w14:paraId="00000020">
      <w:pPr>
        <w:spacing w:before="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Nové podmínky platí pro standardní investiční účty Direct Fondee. Nevztahují se na dětské a studentské účty ani na dlouhodobý investiční produkt (DIP), jejichž poplatky jsou zvýhodněné již v základní nabídce. Hodnota DIP, studentských a dětských investičních účtů se však při posuzování nároku na Premium nebo Platinum sčítá.</w:t>
      </w:r>
    </w:p>
    <w:p w:rsidR="00000000" w:rsidDel="00000000" w:rsidP="00000000" w:rsidRDefault="00000000" w:rsidRPr="00000000" w14:paraId="00000021">
      <w:pPr>
        <w:spacing w:before="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Pokud hodnota portfolia dočasně klesne pouze kvůli vývoji finančních trhů, klient o svůj status nepřijde. Ke změně dochází pouze tehdy, pokud přestane plnit podmínky pravidelného investování nebo část prostředků z účtu vybere.</w:t>
      </w:r>
    </w:p>
    <w:p w:rsidR="00000000" w:rsidDel="00000000" w:rsidP="00000000" w:rsidRDefault="00000000" w:rsidRPr="00000000" w14:paraId="00000022">
      <w:pPr>
        <w:spacing w:before="0" w:line="240" w:lineRule="auto"/>
        <w:rPr>
          <w:rFonts w:ascii="Direct Sans" w:cs="Direct Sans" w:eastAsia="Direct Sans" w:hAnsi="Direct Sans"/>
          <w:b w:val="1"/>
          <w:bCs w:val="1"/>
          <w:color w:val="004033"/>
          <w:sz w:val="20"/>
          <w:szCs w:val="20"/>
        </w:rPr>
      </w:pPr>
      <w:r w:rsidDel="00000000" w:rsidR="00000000" w:rsidRPr="00000000">
        <w:rPr>
          <w:rFonts w:ascii="Direct Sans" w:cs="Direct Sans" w:eastAsia="Direct Sans" w:hAnsi="Direct Sans"/>
          <w:b w:val="1"/>
          <w:bCs w:val="1"/>
          <w:color w:val="004033"/>
          <w:sz w:val="20"/>
          <w:szCs w:val="20"/>
          <w:rtl w:val="0"/>
        </w:rPr>
        <w:t xml:space="preserve">O Direct Fondee</w:t>
      </w:r>
    </w:p>
    <w:p w:rsidR="00000000" w:rsidDel="00000000" w:rsidP="00000000" w:rsidRDefault="00000000" w:rsidRPr="00000000" w14:paraId="00000023">
      <w:pPr>
        <w:spacing w:before="0" w:line="240" w:lineRule="auto"/>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Direct Fondee je online služba pro jednoduché investování do fondů akcií a dluhopisů. Pomáhá zejména těm, kterým leží peníze na běžných účtech a hledají snadnou a efektivní cestu jejich zhodnocení. Direct Fondee pro ně zprostředkuje investice do fondů sdružujících akcie a dluhopisy. Registrace probíhá online, klient si jen vybere typ portfolia a zbytek už je bez starostí. Direct Fondee portfolia jsou dostupná také v ESG formě. Projekt v roce 2017 založili Eva a Honza Hlavsovi, kteří získali zkušenosti ve financích v londýnské City a chtěli lidem investování zpřístupnit. V roce 2021 získali pro svůj startup milion eur od skupiny soukromých investorů a J&amp;T Banky, která se zároveň stala brokerem platformy. Od ledna 2022 Direct Fondee působí také na Slovensku, od ledna 2023 i v Polsku. Od roku 2024 je Fondee součástí skupiny Direct.</w:t>
      </w:r>
    </w:p>
    <w:p w:rsidR="00000000" w:rsidDel="00000000" w:rsidP="00000000" w:rsidRDefault="00000000" w:rsidRPr="00000000" w14:paraId="00000024">
      <w:pPr>
        <w:spacing w:before="0" w:line="240" w:lineRule="auto"/>
        <w:rPr>
          <w:rFonts w:ascii="Direct Sans" w:cs="Direct Sans" w:eastAsia="Direct Sans" w:hAnsi="Direct Sans"/>
          <w:color w:val="004033"/>
          <w:sz w:val="20"/>
          <w:szCs w:val="20"/>
        </w:rPr>
      </w:pPr>
      <w:hyperlink r:id="rId7">
        <w:r w:rsidDel="00000000" w:rsidR="00000000" w:rsidRPr="00000000">
          <w:rPr>
            <w:rFonts w:ascii="Direct Sans" w:cs="Direct Sans" w:eastAsia="Direct Sans" w:hAnsi="Direct Sans"/>
            <w:color w:val="1155cc"/>
            <w:sz w:val="20"/>
            <w:szCs w:val="20"/>
            <w:u w:val="single"/>
            <w:rtl w:val="0"/>
          </w:rPr>
          <w:t xml:space="preserve">www.fondee.cz</w:t>
        </w:r>
      </w:hyperlink>
      <w:r w:rsidDel="00000000" w:rsidR="00000000" w:rsidRPr="00000000">
        <w:rPr>
          <w:rtl w:val="0"/>
        </w:rPr>
      </w:r>
    </w:p>
    <w:p w:rsidR="00000000" w:rsidDel="00000000" w:rsidP="00000000" w:rsidRDefault="00000000" w:rsidRPr="00000000" w14:paraId="00000025">
      <w:pPr>
        <w:spacing w:before="0" w:line="240" w:lineRule="auto"/>
        <w:jc w:val="right"/>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Kontakt pro média</w:t>
      </w:r>
    </w:p>
    <w:p w:rsidR="00000000" w:rsidDel="00000000" w:rsidP="00000000" w:rsidRDefault="00000000" w:rsidRPr="00000000" w14:paraId="00000026">
      <w:pPr>
        <w:spacing w:before="0" w:line="240" w:lineRule="auto"/>
        <w:jc w:val="right"/>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Kateřina Márová</w:t>
      </w:r>
    </w:p>
    <w:p w:rsidR="00000000" w:rsidDel="00000000" w:rsidP="00000000" w:rsidRDefault="00000000" w:rsidRPr="00000000" w14:paraId="00000027">
      <w:pPr>
        <w:spacing w:before="0" w:line="240" w:lineRule="auto"/>
        <w:jc w:val="right"/>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4033"/>
          <w:sz w:val="20"/>
          <w:szCs w:val="20"/>
          <w:rtl w:val="0"/>
        </w:rPr>
        <w:t xml:space="preserve">katerina.marova@direct.cz</w:t>
      </w:r>
    </w:p>
    <w:p w:rsidR="00000000" w:rsidDel="00000000" w:rsidP="00000000" w:rsidRDefault="00000000" w:rsidRPr="00000000" w14:paraId="00000028">
      <w:pPr>
        <w:spacing w:before="480" w:line="240" w:lineRule="auto"/>
        <w:rPr>
          <w:rFonts w:ascii="Direct Sans" w:cs="Direct Sans" w:eastAsia="Direct Sans" w:hAnsi="Direct Sans"/>
          <w:color w:val="004033"/>
          <w:sz w:val="20"/>
          <w:szCs w:val="20"/>
        </w:rPr>
      </w:pPr>
      <w:r w:rsidDel="00000000" w:rsidR="00000000" w:rsidRPr="00000000">
        <w:rPr>
          <w:rtl w:val="0"/>
        </w:rPr>
      </w:r>
    </w:p>
    <w:p w:rsidR="00000000" w:rsidDel="00000000" w:rsidP="00000000" w:rsidRDefault="00000000" w:rsidRPr="00000000" w14:paraId="00000029">
      <w:pPr>
        <w:spacing w:after="0" w:line="240" w:lineRule="auto"/>
        <w:jc w:val="left"/>
        <w:rPr>
          <w:rFonts w:ascii="Direct Sans" w:cs="Direct Sans" w:eastAsia="Direct Sans" w:hAnsi="Direct Sans"/>
          <w:color w:val="004033"/>
          <w:sz w:val="20"/>
          <w:szCs w:val="20"/>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17" w:top="1417" w:left="1417" w:right="1417" w:header="708"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Direct Sans Medium"/>
  <w:font w:name="Direct Sans Semibold"/>
  <w:font w:name="Direct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tbl>
    <w:tblPr>
      <w:tblStyle w:val="Table2"/>
      <w:tblpPr w:leftFromText="141" w:rightFromText="141" w:topFromText="0" w:bottomFromText="0" w:vertAnchor="text" w:horzAnchor="text" w:tblpX="-84" w:tblpY="1"/>
      <w:tblW w:w="9496.0" w:type="dxa"/>
      <w:jc w:val="left"/>
      <w:tblLayout w:type="fixed"/>
      <w:tblLook w:val="0600"/>
    </w:tblPr>
    <w:tblGrid>
      <w:gridCol w:w="4111"/>
      <w:gridCol w:w="3260"/>
      <w:gridCol w:w="2125"/>
      <w:tblGridChange w:id="0">
        <w:tblGrid>
          <w:gridCol w:w="4111"/>
          <w:gridCol w:w="3260"/>
          <w:gridCol w:w="2125"/>
        </w:tblGrid>
      </w:tblGridChange>
    </w:tblGrid>
    <w:tr>
      <w:trPr>
        <w:cantSplit w:val="0"/>
        <w:trHeight w:val="568" w:hRule="atLeast"/>
        <w:tblHeader w:val="0"/>
      </w:trPr>
      <w:tc>
        <w:tcPr>
          <w:vAlign w:val="center"/>
        </w:tcPr>
        <w:p w:rsidR="00000000" w:rsidDel="00000000" w:rsidP="00000000" w:rsidRDefault="00000000" w:rsidRPr="00000000" w14:paraId="0000002F">
          <w:pPr>
            <w:ind w:left="113" w:firstLine="0"/>
            <w:rPr>
              <w:rFonts w:ascii="Direct Sans" w:cs="Direct Sans" w:eastAsia="Direct Sans" w:hAnsi="Direct Sans"/>
              <w:color w:val="001c16"/>
              <w:sz w:val="14"/>
              <w:szCs w:val="14"/>
            </w:rPr>
          </w:pPr>
          <w:r w:rsidDel="00000000" w:rsidR="00000000" w:rsidRPr="00000000">
            <w:rPr>
              <w:rFonts w:ascii="Direct Sans" w:cs="Direct Sans" w:eastAsia="Direct Sans" w:hAnsi="Direct Sans"/>
              <w:color w:val="001c16"/>
              <w:sz w:val="14"/>
              <w:szCs w:val="14"/>
              <w:rtl w:val="0"/>
            </w:rPr>
            <w:t xml:space="preserve">Direct Fondee a.s.</w:t>
          </w:r>
        </w:p>
        <w:p w:rsidR="00000000" w:rsidDel="00000000" w:rsidP="00000000" w:rsidRDefault="00000000" w:rsidRPr="00000000" w14:paraId="00000030">
          <w:pPr>
            <w:ind w:left="113" w:firstLine="0"/>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1c16"/>
              <w:sz w:val="14"/>
              <w:szCs w:val="14"/>
              <w:rtl w:val="0"/>
            </w:rPr>
            <w:t xml:space="preserve">Pod dráhou 1636/1 170 00 Praha 7 – Holešovice</w:t>
          </w:r>
          <w:r w:rsidDel="00000000" w:rsidR="00000000" w:rsidRPr="00000000">
            <w:rPr>
              <w:rtl w:val="0"/>
            </w:rPr>
          </w:r>
        </w:p>
      </w:tc>
      <w:tc>
        <w:tcPr>
          <w:vAlign w:val="center"/>
        </w:tcPr>
        <w:p w:rsidR="00000000" w:rsidDel="00000000" w:rsidP="00000000" w:rsidRDefault="00000000" w:rsidRPr="00000000" w14:paraId="00000031">
          <w:pPr>
            <w:ind w:left="113" w:firstLine="0"/>
            <w:rPr>
              <w:color w:val="001b15"/>
            </w:rPr>
          </w:pPr>
          <w:hyperlink r:id="rId1">
            <w:r w:rsidDel="00000000" w:rsidR="00000000" w:rsidRPr="00000000">
              <w:rPr>
                <w:rFonts w:ascii="Direct Sans" w:cs="Direct Sans" w:eastAsia="Direct Sans" w:hAnsi="Direct Sans"/>
                <w:color w:val="001b15"/>
                <w:sz w:val="14"/>
                <w:szCs w:val="14"/>
                <w:u w:val="none"/>
                <w:rtl w:val="0"/>
              </w:rPr>
              <w:t xml:space="preserve">info@fondee.cz</w:t>
            </w:r>
          </w:hyperlink>
          <w:r w:rsidDel="00000000" w:rsidR="00000000" w:rsidRPr="00000000">
            <w:rPr>
              <w:rtl w:val="0"/>
            </w:rPr>
          </w:r>
        </w:p>
        <w:p w:rsidR="00000000" w:rsidDel="00000000" w:rsidP="00000000" w:rsidRDefault="00000000" w:rsidRPr="00000000" w14:paraId="00000032">
          <w:pPr>
            <w:ind w:left="113" w:firstLine="0"/>
            <w:rPr>
              <w:rFonts w:ascii="Direct Sans" w:cs="Direct Sans" w:eastAsia="Direct Sans" w:hAnsi="Direct Sans"/>
              <w:color w:val="001b15"/>
              <w:sz w:val="20"/>
              <w:szCs w:val="20"/>
            </w:rPr>
          </w:pPr>
          <w:r w:rsidDel="00000000" w:rsidR="00000000" w:rsidRPr="00000000">
            <w:rPr>
              <w:rFonts w:ascii="Direct Sans" w:cs="Direct Sans" w:eastAsia="Direct Sans" w:hAnsi="Direct Sans"/>
              <w:color w:val="001b15"/>
              <w:sz w:val="14"/>
              <w:szCs w:val="14"/>
              <w:rtl w:val="0"/>
            </w:rPr>
            <w:t xml:space="preserve">www.fondee.cz</w:t>
            <w:tab/>
          </w:r>
          <w:r w:rsidDel="00000000" w:rsidR="00000000" w:rsidRPr="00000000">
            <w:rPr>
              <w:rtl w:val="0"/>
            </w:rPr>
          </w:r>
        </w:p>
      </w:tc>
      <w:tc>
        <w:tcPr>
          <w:vAlign w:val="center"/>
        </w:tcPr>
        <w:p w:rsidR="00000000" w:rsidDel="00000000" w:rsidP="00000000" w:rsidRDefault="00000000" w:rsidRPr="00000000" w14:paraId="00000033">
          <w:pPr>
            <w:ind w:left="113" w:firstLine="0"/>
            <w:rPr>
              <w:rFonts w:ascii="Direct Sans" w:cs="Direct Sans" w:eastAsia="Direct Sans" w:hAnsi="Direct Sans"/>
              <w:color w:val="001c16"/>
              <w:sz w:val="14"/>
              <w:szCs w:val="14"/>
            </w:rPr>
          </w:pPr>
          <w:r w:rsidDel="00000000" w:rsidR="00000000" w:rsidRPr="00000000">
            <w:rPr>
              <w:rFonts w:ascii="Direct Sans" w:cs="Direct Sans" w:eastAsia="Direct Sans" w:hAnsi="Direct Sans"/>
              <w:color w:val="001c16"/>
              <w:sz w:val="14"/>
              <w:szCs w:val="14"/>
              <w:rtl w:val="0"/>
            </w:rPr>
            <w:t xml:space="preserve">IČO: 06691862</w:t>
          </w:r>
        </w:p>
        <w:p w:rsidR="00000000" w:rsidDel="00000000" w:rsidP="00000000" w:rsidRDefault="00000000" w:rsidRPr="00000000" w14:paraId="00000034">
          <w:pPr>
            <w:ind w:left="113" w:firstLine="0"/>
            <w:rPr>
              <w:rFonts w:ascii="Direct Sans" w:cs="Direct Sans" w:eastAsia="Direct Sans" w:hAnsi="Direct Sans"/>
              <w:color w:val="004033"/>
              <w:sz w:val="20"/>
              <w:szCs w:val="20"/>
            </w:rPr>
          </w:pPr>
          <w:r w:rsidDel="00000000" w:rsidR="00000000" w:rsidRPr="00000000">
            <w:rPr>
              <w:rFonts w:ascii="Direct Sans" w:cs="Direct Sans" w:eastAsia="Direct Sans" w:hAnsi="Direct Sans"/>
              <w:color w:val="001c16"/>
              <w:sz w:val="14"/>
              <w:szCs w:val="14"/>
              <w:rtl w:val="0"/>
            </w:rPr>
            <w:t xml:space="preserve">DIČ: CZ06691862</w:t>
          </w:r>
          <w:r w:rsidDel="00000000" w:rsidR="00000000" w:rsidRPr="00000000">
            <w:rPr>
              <w:rtl w:val="0"/>
            </w:rPr>
          </w:r>
        </w:p>
      </w:tc>
    </w:tr>
  </w:tb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align>right</wp:align>
              </wp:positionH>
              <wp:positionV relativeFrom="page">
                <wp:align>top</wp:align>
              </wp:positionV>
              <wp:extent cx="605790" cy="379730"/>
              <wp:effectExtent b="0" l="0" r="0" t="0"/>
              <wp:wrapNone/>
              <wp:docPr descr="Interní" id="1" name=""/>
              <a:graphic>
                <a:graphicData uri="http://schemas.microsoft.com/office/word/2010/wordprocessingShape">
                  <wps:wsp>
                    <wps:cNvSpPr/>
                    <wps:cNvPr id="2" name="Shape 2"/>
                    <wps:spPr>
                      <a:xfrm>
                        <a:off x="5047868" y="3594898"/>
                        <a:ext cx="596265" cy="37020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Interní</w:t>
                          </w:r>
                        </w:p>
                      </w:txbxContent>
                    </wps:txbx>
                    <wps:bodyPr anchorCtr="0" anchor="t" bIns="0" lIns="0" spcFirstLastPara="1" rIns="25400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right</wp:align>
              </wp:positionH>
              <wp:positionV relativeFrom="page">
                <wp:align>top</wp:align>
              </wp:positionV>
              <wp:extent cx="605790" cy="379730"/>
              <wp:effectExtent b="0" l="0" r="0" t="0"/>
              <wp:wrapNone/>
              <wp:docPr descr="Interní" id="1" name="image2.png"/>
              <a:graphic>
                <a:graphicData uri="http://schemas.openxmlformats.org/drawingml/2006/picture">
                  <pic:pic>
                    <pic:nvPicPr>
                      <pic:cNvPr descr="Interní" id="0" name="image2.png"/>
                      <pic:cNvPicPr preferRelativeResize="0"/>
                    </pic:nvPicPr>
                    <pic:blipFill>
                      <a:blip r:embed="rId1"/>
                      <a:srcRect/>
                      <a:stretch>
                        <a:fillRect/>
                      </a:stretch>
                    </pic:blipFill>
                    <pic:spPr>
                      <a:xfrm>
                        <a:off x="0" y="0"/>
                        <a:ext cx="605790" cy="37973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tabs>
        <w:tab w:val="left" w:leader="none" w:pos="850"/>
        <w:tab w:val="right" w:leader="none" w:pos="9072"/>
      </w:tabs>
      <w:spacing w:before="820" w:line="240" w:lineRule="auto"/>
      <w:rPr>
        <w:rFonts w:ascii="Direct Sans Semibold" w:cs="Direct Sans Semibold" w:eastAsia="Direct Sans Semibold" w:hAnsi="Direct Sans Semibold"/>
        <w:b w:val="1"/>
        <w:bCs w:val="1"/>
        <w:color w:val="004033"/>
        <w:sz w:val="48"/>
        <w:szCs w:val="48"/>
      </w:rPr>
    </w:pPr>
    <w:r w:rsidDel="00000000" w:rsidR="00000000" w:rsidRPr="00000000">
      <w:rPr>
        <w:rFonts w:ascii="Direct Sans Semibold" w:cs="Direct Sans Semibold" w:eastAsia="Direct Sans Semibold" w:hAnsi="Direct Sans Semibold"/>
        <w:b w:val="1"/>
        <w:bCs w:val="1"/>
        <w:color w:val="004033"/>
        <w:sz w:val="48"/>
        <w:szCs w:val="48"/>
        <w:rtl w:val="0"/>
      </w:rPr>
      <w:tab/>
      <w:tab/>
      <w:t xml:space="preserve"> </w:t>
    </w:r>
    <w:r w:rsidDel="00000000" w:rsidR="00000000" w:rsidRPr="00000000">
      <w:rPr>
        <w:rFonts w:ascii="Direct Sans" w:cs="Direct Sans" w:eastAsia="Direct Sans" w:hAnsi="Direct Sans"/>
        <w:i w:val="1"/>
        <w:iCs w:val="1"/>
        <w:color w:val="004033"/>
        <w:sz w:val="22"/>
        <w:szCs w:val="22"/>
        <w:rtl w:val="0"/>
      </w:rPr>
      <w:t xml:space="preserve">Tisková zpráva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-264794</wp:posOffset>
          </wp:positionH>
          <wp:positionV relativeFrom="paragraph">
            <wp:posOffset>63052</wp:posOffset>
          </wp:positionV>
          <wp:extent cx="1274933" cy="6625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74933" cy="662563"/>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align>right</wp:align>
              </wp:positionH>
              <wp:positionV relativeFrom="page">
                <wp:align>top</wp:align>
              </wp:positionV>
              <wp:extent cx="605790" cy="379730"/>
              <wp:effectExtent b="0" l="0" r="0" t="0"/>
              <wp:wrapNone/>
              <wp:docPr descr="Interní" id="2" name=""/>
              <a:graphic>
                <a:graphicData uri="http://schemas.microsoft.com/office/word/2010/wordprocessingShape">
                  <wps:wsp>
                    <wps:cNvSpPr/>
                    <wps:cNvPr id="3" name="Shape 3"/>
                    <wps:spPr>
                      <a:xfrm>
                        <a:off x="5047868" y="3594898"/>
                        <a:ext cx="596265" cy="370205"/>
                      </a:xfrm>
                      <a:prstGeom prst="rect">
                        <a:avLst/>
                      </a:prstGeom>
                      <a:noFill/>
                      <a:ln>
                        <a:noFill/>
                      </a:ln>
                    </wps:spPr>
                    <wps:txbx>
                      <w:txbxContent>
                        <w:p w:rsidR="00000000" w:rsidDel="00000000" w:rsidP="00000000" w:rsidRDefault="00000000" w:rsidRPr="00000000">
                          <w:pPr>
                            <w:spacing w:after="0" w:before="0" w:line="277.99999237060547"/>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t xml:space="preserve">Interní</w:t>
                          </w:r>
                        </w:p>
                      </w:txbxContent>
                    </wps:txbx>
                    <wps:bodyPr anchorCtr="0" anchor="t" bIns="0" lIns="0" spcFirstLastPara="1" rIns="254000" wrap="square" tIns="190500">
                      <a:noAutofit/>
                    </wps:bodyPr>
                  </wps:wsp>
                </a:graphicData>
              </a:graphic>
            </wp:anchor>
          </w:drawing>
        </mc:Choice>
        <mc:Fallback>
          <w:drawing>
            <wp:anchor allowOverlap="1" behindDoc="0" distB="0" distT="0" distL="0" distR="0" hidden="0" layoutInCell="1" locked="0" relativeHeight="0" simplePos="0">
              <wp:simplePos x="0" y="0"/>
              <wp:positionH relativeFrom="page">
                <wp:align>right</wp:align>
              </wp:positionH>
              <wp:positionV relativeFrom="page">
                <wp:align>top</wp:align>
              </wp:positionV>
              <wp:extent cx="605790" cy="379730"/>
              <wp:effectExtent b="0" l="0" r="0" t="0"/>
              <wp:wrapNone/>
              <wp:docPr descr="Interní" id="2" name="image3.png"/>
              <a:graphic>
                <a:graphicData uri="http://schemas.openxmlformats.org/drawingml/2006/picture">
                  <pic:pic>
                    <pic:nvPicPr>
                      <pic:cNvPr descr="Interní" id="0" name="image3.png"/>
                      <pic:cNvPicPr preferRelativeResize="0"/>
                    </pic:nvPicPr>
                    <pic:blipFill>
                      <a:blip r:embed="rId1"/>
                      <a:srcRect/>
                      <a:stretch>
                        <a:fillRect/>
                      </a:stretch>
                    </pic:blipFill>
                    <pic:spPr>
                      <a:xfrm>
                        <a:off x="0" y="0"/>
                        <a:ext cx="605790" cy="37973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c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tblStylePr w:type="band1Horz">
      <w:tcPr>
        <w:shd w:fill="f2f2f2" w:val="clear"/>
      </w:tcPr>
    </w:tblStylePr>
    <w:tblStylePr w:type="band1Vert">
      <w:tcPr>
        <w:shd w:fill="f2f2f2" w:val="clear"/>
      </w:tcPr>
    </w:tblStylePr>
    <w:tblStylePr w:type="firstCol">
      <w:rPr>
        <w:b w:val="1"/>
        <w:bCs w:val="1"/>
        <w:smallCaps w:val="1"/>
      </w:rPr>
      <w:tcPr>
        <w:tcBorders>
          <w:right w:color="7f7f7f" w:space="0" w:sz="4" w:val="single"/>
        </w:tcBorders>
      </w:tcPr>
    </w:tblStylePr>
    <w:tblStylePr w:type="firstRow">
      <w:rPr>
        <w:b w:val="1"/>
        <w:bCs w:val="1"/>
        <w:smallCaps w:val="1"/>
      </w:rPr>
      <w:tcPr>
        <w:tcBorders>
          <w:bottom w:color="7f7f7f" w:space="0" w:sz="4" w:val="single"/>
        </w:tcBorders>
      </w:tcPr>
    </w:tblStylePr>
    <w:tblStylePr w:type="lastCol">
      <w:rPr>
        <w:b w:val="1"/>
        <w:bCs w:val="1"/>
        <w:smallCaps w:val="1"/>
      </w:rPr>
      <w:tcPr>
        <w:tcBorders>
          <w:left w:color="000000" w:space="0" w:sz="0" w:val="nil"/>
        </w:tcBorders>
      </w:tcPr>
    </w:tblStylePr>
    <w:tblStylePr w:type="lastRow">
      <w:rPr>
        <w:b w:val="1"/>
        <w:bCs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fondee.cz"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2.xml.rels><?xml version="1.0" encoding="UTF-8" standalone="yes"?><Relationships xmlns="http://schemas.openxmlformats.org/package/2006/relationships"><Relationship Id="rId1" Type="http://schemas.openxmlformats.org/officeDocument/2006/relationships/hyperlink" Target="mailto:info@fondee.cz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ny2gkV3SVqxSggLk9mmBUKYH7w==">CgMxLjAaHwoBMBIaChgICVIUChJ0YWJsZS54NmY2M29tNjM1bDE4AHIhMXhDYVJlb3BYLWcyN1JxQ2J1b2NUanAtZFlDUzhxVDNF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7cbb9861,3589f1d5,773d80be</vt:lpwstr>
  </property>
  <property fmtid="{D5CDD505-2E9C-101B-9397-08002B2CF9AE}" pid="3" name="ClassificationContentMarkingHeaderFontProps">
    <vt:lpwstr>#000000,10,Calibri</vt:lpwstr>
  </property>
  <property fmtid="{D5CDD505-2E9C-101B-9397-08002B2CF9AE}" pid="4" name="ClassificationContentMarkingHeaderText">
    <vt:lpwstr>Interní</vt:lpwstr>
  </property>
  <property fmtid="{D5CDD505-2E9C-101B-9397-08002B2CF9AE}" pid="5" name="MSIP_Label_2f90dfaf-3227-49c1-ac9e-e3a490b2dbb5_Enabled">
    <vt:lpwstr>true</vt:lpwstr>
  </property>
  <property fmtid="{D5CDD505-2E9C-101B-9397-08002B2CF9AE}" pid="6" name="MSIP_Label_2f90dfaf-3227-49c1-ac9e-e3a490b2dbb5_SetDate">
    <vt:lpwstr>2025-02-20T12:50:01Z</vt:lpwstr>
  </property>
  <property fmtid="{D5CDD505-2E9C-101B-9397-08002B2CF9AE}" pid="7" name="MSIP_Label_2f90dfaf-3227-49c1-ac9e-e3a490b2dbb5_Method">
    <vt:lpwstr>Standard</vt:lpwstr>
  </property>
  <property fmtid="{D5CDD505-2E9C-101B-9397-08002B2CF9AE}" pid="8" name="MSIP_Label_2f90dfaf-3227-49c1-ac9e-e3a490b2dbb5_Name">
    <vt:lpwstr>Interní</vt:lpwstr>
  </property>
  <property fmtid="{D5CDD505-2E9C-101B-9397-08002B2CF9AE}" pid="9" name="MSIP_Label_2f90dfaf-3227-49c1-ac9e-e3a490b2dbb5_SiteId">
    <vt:lpwstr>ebc0beb2-ea26-4367-a01b-0621b24bfc62</vt:lpwstr>
  </property>
  <property fmtid="{D5CDD505-2E9C-101B-9397-08002B2CF9AE}" pid="10" name="MSIP_Label_2f90dfaf-3227-49c1-ac9e-e3a490b2dbb5_ActionId">
    <vt:lpwstr>cd4b80fc-4317-4834-97af-074629d56d1b</vt:lpwstr>
  </property>
  <property fmtid="{D5CDD505-2E9C-101B-9397-08002B2CF9AE}" pid="11" name="MSIP_Label_2f90dfaf-3227-49c1-ac9e-e3a490b2dbb5_ContentBits">
    <vt:lpwstr>1</vt:lpwstr>
  </property>
  <property fmtid="{D5CDD505-2E9C-101B-9397-08002B2CF9AE}" pid="12" name="MSIP_Label_2f90dfaf-3227-49c1-ac9e-e3a490b2dbb5_Tag">
    <vt:lpwstr>50, 3, 0, 1</vt:lpwstr>
  </property>
  <property fmtid="{D5CDD505-2E9C-101B-9397-08002B2CF9AE}" pid="13" name="ContentTypeId">
    <vt:lpwstr>0x010100188F1F502F03A249B0C80D07F0340371</vt:lpwstr>
  </property>
</Properties>
</file>