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360" w:lineRule="auto"/>
        <w:jc w:val="both"/>
        <w:rPr>
          <w:rFonts w:ascii="Inter Light" w:cs="Inter Light" w:eastAsia="Inter Light" w:hAnsi="Inter Light"/>
          <w:sz w:val="40"/>
          <w:szCs w:val="40"/>
        </w:rPr>
      </w:pPr>
      <w:r w:rsidDel="00000000" w:rsidR="00000000" w:rsidRPr="00000000">
        <w:rPr>
          <w:rFonts w:ascii="Inter Light" w:cs="Inter Light" w:eastAsia="Inter Light" w:hAnsi="Inter Light"/>
          <w:sz w:val="40"/>
          <w:szCs w:val="40"/>
          <w:rtl w:val="0"/>
        </w:rPr>
        <w:t xml:space="preserve">ASCOPA vyhlásila finalisty ocenění Mluvčí roku 2024</w:t>
      </w:r>
    </w:p>
    <w:p w:rsidR="00000000" w:rsidDel="00000000" w:rsidP="00000000" w:rsidRDefault="00000000" w:rsidRPr="00000000" w14:paraId="00000002">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Praha, 5. prosince 2024</w:t>
      </w:r>
    </w:p>
    <w:p w:rsidR="00000000" w:rsidDel="00000000" w:rsidP="00000000" w:rsidRDefault="00000000" w:rsidRPr="00000000" w14:paraId="00000003">
      <w:pPr>
        <w:spacing w:after="180" w:line="360" w:lineRule="auto"/>
        <w:jc w:val="both"/>
        <w:rPr>
          <w:rFonts w:ascii="Inter" w:cs="Inter" w:eastAsia="Inter" w:hAnsi="Inter"/>
          <w:b w:val="1"/>
          <w:sz w:val="20"/>
          <w:szCs w:val="20"/>
        </w:rPr>
      </w:pPr>
      <w:r w:rsidDel="00000000" w:rsidR="00000000" w:rsidRPr="00000000">
        <w:rPr>
          <w:rFonts w:ascii="Inter" w:cs="Inter" w:eastAsia="Inter" w:hAnsi="Inter"/>
          <w:b w:val="1"/>
          <w:sz w:val="20"/>
          <w:szCs w:val="20"/>
          <w:rtl w:val="0"/>
        </w:rPr>
        <w:t xml:space="preserve">Asociace strategické komunikace a vztahů s veřejností (dříve PR Klub), oznámila finalisty oborové ceny Mluvčí roku 2024. Porota z více než dvě stě nominací vybrala nejlepší komunikátory z České republiky, kteří postoupili do závěrečného kola hodnocení. Vítězové získají titul v kategoriích Mluvčí roku veřejného a neziskového sektoru, Mluvčí roku soukromého sektoru a PR tým roku. Slavnostní vyhlášení se koná 23. ledna 2025 opět v pražském Stages Hotel Prague.</w:t>
      </w:r>
    </w:p>
    <w:p w:rsidR="00000000" w:rsidDel="00000000" w:rsidP="00000000" w:rsidRDefault="00000000" w:rsidRPr="00000000" w14:paraId="00000004">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Tato prestižní ocenění jsou každoročně udělována profesionálům a PR týmům, kteří díky své efektivní komunikaci přispívají k budování pozitivní reputace organizací a značek. </w:t>
      </w:r>
    </w:p>
    <w:p w:rsidR="00000000" w:rsidDel="00000000" w:rsidP="00000000" w:rsidRDefault="00000000" w:rsidRPr="00000000" w14:paraId="00000005">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Mezi finalisty všech kategorií byli ve dvou kolech hodnocení vybráni (v abecedním pořadí):</w:t>
      </w:r>
    </w:p>
    <w:p w:rsidR="00000000" w:rsidDel="00000000" w:rsidP="00000000" w:rsidRDefault="00000000" w:rsidRPr="00000000" w14:paraId="00000006">
      <w:pPr>
        <w:spacing w:after="180" w:line="360" w:lineRule="auto"/>
        <w:jc w:val="both"/>
        <w:rPr>
          <w:rFonts w:ascii="Inter" w:cs="Inter" w:eastAsia="Inter" w:hAnsi="Inter"/>
          <w:sz w:val="20"/>
          <w:szCs w:val="20"/>
        </w:rPr>
      </w:pPr>
      <w:r w:rsidDel="00000000" w:rsidR="00000000" w:rsidRPr="00000000">
        <w:rPr>
          <w:rFonts w:ascii="Inter" w:cs="Inter" w:eastAsia="Inter" w:hAnsi="Inter"/>
          <w:b w:val="1"/>
          <w:sz w:val="20"/>
          <w:szCs w:val="20"/>
          <w:rtl w:val="0"/>
        </w:rPr>
        <w:t xml:space="preserve">Mluvčí roku veřejného a neziskového sektoru</w:t>
      </w:r>
      <w:r w:rsidDel="00000000" w:rsidR="00000000" w:rsidRPr="00000000">
        <w:rPr>
          <w:rtl w:val="0"/>
        </w:rPr>
      </w:r>
    </w:p>
    <w:p w:rsidR="00000000" w:rsidDel="00000000" w:rsidP="00000000" w:rsidRDefault="00000000" w:rsidRPr="00000000" w14:paraId="00000007">
      <w:pPr>
        <w:numPr>
          <w:ilvl w:val="0"/>
          <w:numId w:val="1"/>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Daniel Drake – Ministerstvo zahraničních věcí</w:t>
      </w:r>
    </w:p>
    <w:p w:rsidR="00000000" w:rsidDel="00000000" w:rsidP="00000000" w:rsidRDefault="00000000" w:rsidRPr="00000000" w14:paraId="00000008">
      <w:pPr>
        <w:numPr>
          <w:ilvl w:val="0"/>
          <w:numId w:val="1"/>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Jakub Ghanem – Městská policie Brno</w:t>
      </w:r>
    </w:p>
    <w:p w:rsidR="00000000" w:rsidDel="00000000" w:rsidP="00000000" w:rsidRDefault="00000000" w:rsidRPr="00000000" w14:paraId="00000009">
      <w:pPr>
        <w:numPr>
          <w:ilvl w:val="0"/>
          <w:numId w:val="1"/>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Radek Šalša – Česká bankovní asociace</w:t>
      </w:r>
    </w:p>
    <w:p w:rsidR="00000000" w:rsidDel="00000000" w:rsidP="00000000" w:rsidRDefault="00000000" w:rsidRPr="00000000" w14:paraId="0000000A">
      <w:pPr>
        <w:numPr>
          <w:ilvl w:val="0"/>
          <w:numId w:val="1"/>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Zuzana Vítková – Nadace Dobrý anděl</w:t>
      </w:r>
    </w:p>
    <w:p w:rsidR="00000000" w:rsidDel="00000000" w:rsidP="00000000" w:rsidRDefault="00000000" w:rsidRPr="00000000" w14:paraId="0000000B">
      <w:pPr>
        <w:numPr>
          <w:ilvl w:val="0"/>
          <w:numId w:val="1"/>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Prokop Voleník – ZZS Ústeckého kraje</w:t>
      </w:r>
    </w:p>
    <w:p w:rsidR="00000000" w:rsidDel="00000000" w:rsidP="00000000" w:rsidRDefault="00000000" w:rsidRPr="00000000" w14:paraId="0000000C">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br w:type="textWrapping"/>
      </w:r>
      <w:r w:rsidDel="00000000" w:rsidR="00000000" w:rsidRPr="00000000">
        <w:rPr>
          <w:rFonts w:ascii="Inter" w:cs="Inter" w:eastAsia="Inter" w:hAnsi="Inter"/>
          <w:b w:val="1"/>
          <w:sz w:val="20"/>
          <w:szCs w:val="20"/>
          <w:rtl w:val="0"/>
        </w:rPr>
        <w:t xml:space="preserve">Mluvčí roku soukromého sektoru</w:t>
      </w:r>
      <w:r w:rsidDel="00000000" w:rsidR="00000000" w:rsidRPr="00000000">
        <w:rPr>
          <w:rtl w:val="0"/>
        </w:rPr>
      </w:r>
    </w:p>
    <w:p w:rsidR="00000000" w:rsidDel="00000000" w:rsidP="00000000" w:rsidRDefault="00000000" w:rsidRPr="00000000" w14:paraId="0000000D">
      <w:pPr>
        <w:numPr>
          <w:ilvl w:val="0"/>
          <w:numId w:val="2"/>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Jana Dronská – Vítkovice Steel</w:t>
      </w:r>
    </w:p>
    <w:p w:rsidR="00000000" w:rsidDel="00000000" w:rsidP="00000000" w:rsidRDefault="00000000" w:rsidRPr="00000000" w14:paraId="0000000E">
      <w:pPr>
        <w:numPr>
          <w:ilvl w:val="0"/>
          <w:numId w:val="2"/>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Pavel Kaidl – ORLEN Unipetrol RPA</w:t>
      </w:r>
    </w:p>
    <w:p w:rsidR="00000000" w:rsidDel="00000000" w:rsidP="00000000" w:rsidRDefault="00000000" w:rsidRPr="00000000" w14:paraId="0000000F">
      <w:pPr>
        <w:numPr>
          <w:ilvl w:val="0"/>
          <w:numId w:val="2"/>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Zdeněk Kovář – Plzeňský Prazdroj</w:t>
      </w:r>
    </w:p>
    <w:p w:rsidR="00000000" w:rsidDel="00000000" w:rsidP="00000000" w:rsidRDefault="00000000" w:rsidRPr="00000000" w14:paraId="00000010">
      <w:pPr>
        <w:numPr>
          <w:ilvl w:val="0"/>
          <w:numId w:val="2"/>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Šárka Nevoralová – Komerční banka</w:t>
      </w:r>
    </w:p>
    <w:p w:rsidR="00000000" w:rsidDel="00000000" w:rsidP="00000000" w:rsidRDefault="00000000" w:rsidRPr="00000000" w14:paraId="00000011">
      <w:pPr>
        <w:numPr>
          <w:ilvl w:val="0"/>
          <w:numId w:val="2"/>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Jana Ptačinská Jirátová – Kofola ČeskoSlovensko</w:t>
      </w:r>
    </w:p>
    <w:p w:rsidR="00000000" w:rsidDel="00000000" w:rsidP="00000000" w:rsidRDefault="00000000" w:rsidRPr="00000000" w14:paraId="00000012">
      <w:pPr>
        <w:spacing w:after="180" w:line="360" w:lineRule="auto"/>
        <w:jc w:val="both"/>
        <w:rPr>
          <w:rFonts w:ascii="Inter" w:cs="Inter" w:eastAsia="Inter" w:hAnsi="Inte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after="180" w:line="360" w:lineRule="auto"/>
        <w:jc w:val="both"/>
        <w:rPr>
          <w:rFonts w:ascii="Inter" w:cs="Inter" w:eastAsia="Inter" w:hAnsi="Inter"/>
          <w:sz w:val="20"/>
          <w:szCs w:val="20"/>
        </w:rPr>
      </w:pPr>
      <w:r w:rsidDel="00000000" w:rsidR="00000000" w:rsidRPr="00000000">
        <w:rPr>
          <w:rFonts w:ascii="Inter" w:cs="Inter" w:eastAsia="Inter" w:hAnsi="Inter"/>
          <w:b w:val="1"/>
          <w:sz w:val="20"/>
          <w:szCs w:val="20"/>
          <w:rtl w:val="0"/>
        </w:rPr>
        <w:t xml:space="preserve">PR tým roku</w:t>
      </w:r>
      <w:r w:rsidDel="00000000" w:rsidR="00000000" w:rsidRPr="00000000">
        <w:rPr>
          <w:rtl w:val="0"/>
        </w:rPr>
      </w:r>
    </w:p>
    <w:p w:rsidR="00000000" w:rsidDel="00000000" w:rsidP="00000000" w:rsidRDefault="00000000" w:rsidRPr="00000000" w14:paraId="00000014">
      <w:pPr>
        <w:numPr>
          <w:ilvl w:val="0"/>
          <w:numId w:val="3"/>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ČEZ</w:t>
      </w:r>
    </w:p>
    <w:p w:rsidR="00000000" w:rsidDel="00000000" w:rsidP="00000000" w:rsidRDefault="00000000" w:rsidRPr="00000000" w14:paraId="00000015">
      <w:pPr>
        <w:numPr>
          <w:ilvl w:val="0"/>
          <w:numId w:val="3"/>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Ministerstvo zahraničních věcí</w:t>
      </w:r>
    </w:p>
    <w:p w:rsidR="00000000" w:rsidDel="00000000" w:rsidP="00000000" w:rsidRDefault="00000000" w:rsidRPr="00000000" w14:paraId="00000016">
      <w:pPr>
        <w:numPr>
          <w:ilvl w:val="0"/>
          <w:numId w:val="3"/>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Plzeňský Prazdroj</w:t>
      </w:r>
    </w:p>
    <w:p w:rsidR="00000000" w:rsidDel="00000000" w:rsidP="00000000" w:rsidRDefault="00000000" w:rsidRPr="00000000" w14:paraId="00000017">
      <w:pPr>
        <w:numPr>
          <w:ilvl w:val="0"/>
          <w:numId w:val="3"/>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SK Slavia Praha</w:t>
      </w:r>
    </w:p>
    <w:p w:rsidR="00000000" w:rsidDel="00000000" w:rsidP="00000000" w:rsidRDefault="00000000" w:rsidRPr="00000000" w14:paraId="00000018">
      <w:pPr>
        <w:numPr>
          <w:ilvl w:val="0"/>
          <w:numId w:val="3"/>
        </w:numPr>
        <w:spacing w:line="360" w:lineRule="auto"/>
        <w:ind w:left="720" w:hanging="360"/>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TV Nova</w:t>
      </w:r>
    </w:p>
    <w:p w:rsidR="00000000" w:rsidDel="00000000" w:rsidP="00000000" w:rsidRDefault="00000000" w:rsidRPr="00000000" w14:paraId="00000019">
      <w:pPr>
        <w:spacing w:after="180" w:line="360" w:lineRule="auto"/>
        <w:jc w:val="both"/>
        <w:rPr>
          <w:rFonts w:ascii="Inter" w:cs="Inter" w:eastAsia="Inter" w:hAnsi="Inter"/>
          <w:sz w:val="20"/>
          <w:szCs w:val="20"/>
        </w:rPr>
      </w:pPr>
      <w:r w:rsidDel="00000000" w:rsidR="00000000" w:rsidRPr="00000000">
        <w:rPr>
          <w:rtl w:val="0"/>
        </w:rPr>
      </w:r>
    </w:p>
    <w:p w:rsidR="00000000" w:rsidDel="00000000" w:rsidP="00000000" w:rsidRDefault="00000000" w:rsidRPr="00000000" w14:paraId="0000001A">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Do letošního hodnocení se zapojila porota složená z 21 zkušených novinářů a odborníků na public relations a komunikaci. Mezi členy poroty se letos zařadili například Jaroslav Kábele (ČTK), Ladislav Šticha (BIS), Karel Hanzelka (PRE), Dana Dvořáková (KKCG), Tereza Zavadilová (newstream.cz), Kamil Houska (TV Nova), Marek Stránský (AMI Communications), Ondřej Suchan (Radiožurnál), Ondřej Holzman (CzechCrunch) nebo Petr Honzejk (Hospodářské noviny).</w:t>
      </w:r>
    </w:p>
    <w:p w:rsidR="00000000" w:rsidDel="00000000" w:rsidP="00000000" w:rsidRDefault="00000000" w:rsidRPr="00000000" w14:paraId="0000001B">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ASCOPA každoročně oceňuje osobnosti a týmy, které na poli komunikace pracují s maximální profesionalitou, transparentností, proaktivitou a v souladu s etickými principy profese. „</w:t>
      </w:r>
      <w:r w:rsidDel="00000000" w:rsidR="00000000" w:rsidRPr="00000000">
        <w:rPr>
          <w:rFonts w:ascii="Inter" w:cs="Inter" w:eastAsia="Inter" w:hAnsi="Inter"/>
          <w:i w:val="1"/>
          <w:sz w:val="20"/>
          <w:szCs w:val="20"/>
          <w:rtl w:val="0"/>
        </w:rPr>
        <w:t xml:space="preserve">Význam role komunikátorů stále roste, protože vyžaduje široké spektrum znalostí, dovedností a strategický přístup</w:t>
      </w:r>
      <w:r w:rsidDel="00000000" w:rsidR="00000000" w:rsidRPr="00000000">
        <w:rPr>
          <w:rFonts w:ascii="Inter" w:cs="Inter" w:eastAsia="Inter" w:hAnsi="Inter"/>
          <w:sz w:val="20"/>
          <w:szCs w:val="20"/>
          <w:rtl w:val="0"/>
        </w:rPr>
        <w:t xml:space="preserve">,“ říká </w:t>
      </w:r>
      <w:r w:rsidDel="00000000" w:rsidR="00000000" w:rsidRPr="00000000">
        <w:rPr>
          <w:rFonts w:ascii="Inter" w:cs="Inter" w:eastAsia="Inter" w:hAnsi="Inter"/>
          <w:b w:val="1"/>
          <w:sz w:val="20"/>
          <w:szCs w:val="20"/>
          <w:rtl w:val="0"/>
        </w:rPr>
        <w:t xml:space="preserve">Pavel Vlček</w:t>
      </w:r>
      <w:r w:rsidDel="00000000" w:rsidR="00000000" w:rsidRPr="00000000">
        <w:rPr>
          <w:rFonts w:ascii="Inter" w:cs="Inter" w:eastAsia="Inter" w:hAnsi="Inter"/>
          <w:sz w:val="20"/>
          <w:szCs w:val="20"/>
          <w:rtl w:val="0"/>
        </w:rPr>
        <w:t xml:space="preserve">, předseda Výkonného výboru ASCOPA, a zdůrazňuje, že jde o klíčovou pozici s výrazným vlivem na reputaci organizace či značky. “</w:t>
      </w:r>
      <w:r w:rsidDel="00000000" w:rsidR="00000000" w:rsidRPr="00000000">
        <w:rPr>
          <w:rFonts w:ascii="Inter" w:cs="Inter" w:eastAsia="Inter" w:hAnsi="Inter"/>
          <w:i w:val="1"/>
          <w:sz w:val="20"/>
          <w:szCs w:val="20"/>
          <w:rtl w:val="0"/>
        </w:rPr>
        <w:t xml:space="preserve">Reputace a důvěryhodnost přitom tvoří zásadní pilíře úspěchu při plnění cílů organizací,</w:t>
      </w:r>
      <w:r w:rsidDel="00000000" w:rsidR="00000000" w:rsidRPr="00000000">
        <w:rPr>
          <w:rFonts w:ascii="Inter" w:cs="Inter" w:eastAsia="Inter" w:hAnsi="Inter"/>
          <w:sz w:val="20"/>
          <w:szCs w:val="20"/>
          <w:rtl w:val="0"/>
        </w:rPr>
        <w:t xml:space="preserve">” doplňuje.</w:t>
      </w:r>
    </w:p>
    <w:p w:rsidR="00000000" w:rsidDel="00000000" w:rsidP="00000000" w:rsidRDefault="00000000" w:rsidRPr="00000000" w14:paraId="0000001C">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V loňském ročníku se nejlepším mluvčím soukromého sektoru stal Václav Sochor, šéf korporátní komunikace společnosti Tipsport. Ocenění Nejlepší mluvčí veřejného a neziskového sektoru získal Aleš Cimbala, tiskový mluvčí Městského státního zastupitelství v Praze. Titul PR tým roku za rok 2023 převzalo Britské velvyslanectví v Praze.</w:t>
      </w:r>
    </w:p>
    <w:p w:rsidR="00000000" w:rsidDel="00000000" w:rsidP="00000000" w:rsidRDefault="00000000" w:rsidRPr="00000000" w14:paraId="0000001D">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Mezi partnery ocenění patří Mediaboard, AMI Communications, Pražská energetika, Stages Hotel Prague, T-Mobile, Coca-Cola HBC, Plzeňský Prazdroj a Smilebox. Mediálními partnery jsou CNN Prima News a Newstream.cz. </w:t>
      </w:r>
    </w:p>
    <w:p w:rsidR="00000000" w:rsidDel="00000000" w:rsidP="00000000" w:rsidRDefault="00000000" w:rsidRPr="00000000" w14:paraId="0000001E">
      <w:pPr>
        <w:spacing w:after="180" w:line="360" w:lineRule="auto"/>
        <w:jc w:val="both"/>
        <w:rPr>
          <w:rFonts w:ascii="Inter" w:cs="Inter" w:eastAsia="Inter" w:hAnsi="Inter"/>
          <w:sz w:val="20"/>
          <w:szCs w:val="20"/>
        </w:rPr>
      </w:pPr>
      <w:r w:rsidDel="00000000" w:rsidR="00000000" w:rsidRPr="00000000">
        <w:rPr>
          <w:rFonts w:ascii="Inter" w:cs="Inter" w:eastAsia="Inter" w:hAnsi="Inter"/>
          <w:sz w:val="20"/>
          <w:szCs w:val="20"/>
          <w:rtl w:val="0"/>
        </w:rPr>
        <w:t xml:space="preserve">Více informací o ocenění najdete na webových stránkách </w:t>
      </w:r>
      <w:hyperlink r:id="rId7">
        <w:r w:rsidDel="00000000" w:rsidR="00000000" w:rsidRPr="00000000">
          <w:rPr>
            <w:rFonts w:ascii="Inter" w:cs="Inter" w:eastAsia="Inter" w:hAnsi="Inter"/>
            <w:color w:val="0000ff"/>
            <w:sz w:val="20"/>
            <w:szCs w:val="20"/>
            <w:u w:val="single"/>
            <w:rtl w:val="0"/>
          </w:rPr>
          <w:t xml:space="preserve">ASCOPA</w:t>
        </w:r>
      </w:hyperlink>
      <w:r w:rsidDel="00000000" w:rsidR="00000000" w:rsidRPr="00000000">
        <w:rPr>
          <w:rFonts w:ascii="Inter" w:cs="Inter" w:eastAsia="Inter" w:hAnsi="Inter"/>
          <w:sz w:val="20"/>
          <w:szCs w:val="20"/>
          <w:rtl w:val="0"/>
        </w:rPr>
        <w:t xml:space="preserve">.</w:t>
      </w:r>
    </w:p>
    <w:p w:rsidR="00000000" w:rsidDel="00000000" w:rsidP="00000000" w:rsidRDefault="00000000" w:rsidRPr="00000000" w14:paraId="0000001F">
      <w:pPr>
        <w:spacing w:after="180" w:line="240" w:lineRule="auto"/>
        <w:jc w:val="both"/>
        <w:rPr>
          <w:rFonts w:ascii="Times New Roman" w:cs="Times New Roman" w:eastAsia="Times New Roman" w:hAnsi="Times New Roman"/>
          <w:sz w:val="24"/>
          <w:szCs w:val="24"/>
        </w:rPr>
      </w:pPr>
      <w:r w:rsidDel="00000000" w:rsidR="00000000" w:rsidRPr="00000000">
        <w:rPr>
          <w:rFonts w:ascii="Inter" w:cs="Inter" w:eastAsia="Inter" w:hAnsi="Inter"/>
          <w:b w:val="1"/>
          <w:color w:val="000000"/>
          <w:sz w:val="20"/>
          <w:szCs w:val="20"/>
          <w:rtl w:val="0"/>
        </w:rPr>
        <w:t xml:space="preserve">O ASCOPA</w:t>
      </w:r>
      <w:r w:rsidDel="00000000" w:rsidR="00000000" w:rsidRPr="00000000">
        <w:rPr>
          <w:rtl w:val="0"/>
        </w:rPr>
      </w:r>
    </w:p>
    <w:p w:rsidR="00000000" w:rsidDel="00000000" w:rsidP="00000000" w:rsidRDefault="00000000" w:rsidRPr="00000000" w14:paraId="00000020">
      <w:pPr>
        <w:spacing w:after="180" w:line="240" w:lineRule="auto"/>
        <w:jc w:val="both"/>
        <w:rPr>
          <w:rFonts w:ascii="Inter" w:cs="Inter" w:eastAsia="Inter" w:hAnsi="Inter"/>
          <w:sz w:val="24"/>
          <w:szCs w:val="24"/>
        </w:rPr>
      </w:pPr>
      <w:hyperlink r:id="rId8">
        <w:r w:rsidDel="00000000" w:rsidR="00000000" w:rsidRPr="00000000">
          <w:rPr>
            <w:rFonts w:ascii="Inter" w:cs="Inter" w:eastAsia="Inter" w:hAnsi="Inter"/>
            <w:sz w:val="16"/>
            <w:szCs w:val="16"/>
            <w:u w:val="single"/>
            <w:rtl w:val="0"/>
          </w:rPr>
          <w:t xml:space="preserve">ASCOPA</w:t>
        </w:r>
      </w:hyperlink>
      <w:r w:rsidDel="00000000" w:rsidR="00000000" w:rsidRPr="00000000">
        <w:rPr>
          <w:rFonts w:ascii="Inter" w:cs="Inter" w:eastAsia="Inter" w:hAnsi="Inter"/>
          <w:sz w:val="16"/>
          <w:szCs w:val="16"/>
          <w:rtl w:val="0"/>
        </w:rPr>
        <w:t xml:space="preserve"> je největší profesní asociací public relations a komunikace v České republice. S hrdostí navazuje na dlouholetou práci PR Klubu a pokračuje v jeho misi posilovat pozici oboru a zvyšovat vliv PR profesionálů ve strategickém vedení firem a organizací. Jejími členy jsou jak uznávaní PR odborníci, tak začínající komunikátoři. V rámci institucionálního členství sdružuje firmy, komunikační agentury a veřejné i neziskové organizace. Podílí se na rozhodování v mezinárodní asociaci Global Alliance for Public Relations and Communication Management. Pořádá největší komunikační soutěž v České republice a na Slovensku Zlatý středník a profesní ocenění Mluvčí roku. Sledovat aktivity asociace můžete na sítích </w:t>
      </w:r>
      <w:hyperlink r:id="rId9">
        <w:r w:rsidDel="00000000" w:rsidR="00000000" w:rsidRPr="00000000">
          <w:rPr>
            <w:rFonts w:ascii="Inter" w:cs="Inter" w:eastAsia="Inter" w:hAnsi="Inter"/>
            <w:sz w:val="16"/>
            <w:szCs w:val="16"/>
            <w:u w:val="single"/>
            <w:rtl w:val="0"/>
          </w:rPr>
          <w:t xml:space="preserve">LinkedIn</w:t>
        </w:r>
      </w:hyperlink>
      <w:r w:rsidDel="00000000" w:rsidR="00000000" w:rsidRPr="00000000">
        <w:rPr>
          <w:rFonts w:ascii="Inter" w:cs="Inter" w:eastAsia="Inter" w:hAnsi="Inter"/>
          <w:sz w:val="16"/>
          <w:szCs w:val="16"/>
          <w:rtl w:val="0"/>
        </w:rPr>
        <w:t xml:space="preserve"> a </w:t>
      </w:r>
      <w:hyperlink r:id="rId10">
        <w:r w:rsidDel="00000000" w:rsidR="00000000" w:rsidRPr="00000000">
          <w:rPr>
            <w:rFonts w:ascii="Inter" w:cs="Inter" w:eastAsia="Inter" w:hAnsi="Inter"/>
            <w:sz w:val="16"/>
            <w:szCs w:val="16"/>
            <w:u w:val="single"/>
            <w:rtl w:val="0"/>
          </w:rPr>
          <w:t xml:space="preserve">Facebook</w:t>
        </w:r>
      </w:hyperlink>
      <w:r w:rsidDel="00000000" w:rsidR="00000000" w:rsidRPr="00000000">
        <w:rPr>
          <w:rFonts w:ascii="Inter" w:cs="Inter" w:eastAsia="Inter" w:hAnsi="Inter"/>
          <w:sz w:val="16"/>
          <w:szCs w:val="16"/>
          <w:rtl w:val="0"/>
        </w:rPr>
        <w:t xml:space="preserve">.</w:t>
      </w:r>
      <w:r w:rsidDel="00000000" w:rsidR="00000000" w:rsidRPr="00000000">
        <w:rPr>
          <w:rtl w:val="0"/>
        </w:rPr>
      </w:r>
    </w:p>
    <w:p w:rsidR="00000000" w:rsidDel="00000000" w:rsidP="00000000" w:rsidRDefault="00000000" w:rsidRPr="00000000" w14:paraId="00000021">
      <w:pPr>
        <w:spacing w:after="240" w:before="240" w:line="240" w:lineRule="auto"/>
        <w:jc w:val="both"/>
        <w:rPr>
          <w:rFonts w:ascii="Inter" w:cs="Inter" w:eastAsia="Inter" w:hAnsi="Inter"/>
          <w:sz w:val="24"/>
          <w:szCs w:val="24"/>
        </w:rPr>
      </w:pPr>
      <w:r w:rsidDel="00000000" w:rsidR="00000000" w:rsidRPr="00000000">
        <w:rPr>
          <w:rFonts w:ascii="Inter" w:cs="Inter" w:eastAsia="Inter" w:hAnsi="Inter"/>
          <w:b w:val="1"/>
          <w:color w:val="000000"/>
          <w:sz w:val="20"/>
          <w:szCs w:val="20"/>
          <w:rtl w:val="0"/>
        </w:rPr>
        <w:t xml:space="preserve">Kontakt</w:t>
      </w:r>
      <w:r w:rsidDel="00000000" w:rsidR="00000000" w:rsidRPr="00000000">
        <w:rPr>
          <w:rtl w:val="0"/>
        </w:rPr>
      </w:r>
    </w:p>
    <w:p w:rsidR="00000000" w:rsidDel="00000000" w:rsidP="00000000" w:rsidRDefault="00000000" w:rsidRPr="00000000" w14:paraId="00000022">
      <w:pPr>
        <w:spacing w:after="240" w:before="240" w:line="240" w:lineRule="auto"/>
        <w:jc w:val="both"/>
        <w:rPr>
          <w:rFonts w:ascii="Inter" w:cs="Inter" w:eastAsia="Inter" w:hAnsi="Inter"/>
          <w:sz w:val="20"/>
          <w:szCs w:val="20"/>
        </w:rPr>
      </w:pPr>
      <w:r w:rsidDel="00000000" w:rsidR="00000000" w:rsidRPr="00000000">
        <w:rPr>
          <w:rFonts w:ascii="Inter" w:cs="Inter" w:eastAsia="Inter" w:hAnsi="Inter"/>
          <w:color w:val="000000"/>
          <w:sz w:val="16"/>
          <w:szCs w:val="16"/>
          <w:rtl w:val="0"/>
        </w:rPr>
        <w:t xml:space="preserve">Michaela Pišiová, výkonná ředitelka ASCOPA, reditelka@ascopa.cz, +420 777 955 91</w:t>
      </w:r>
      <w:r w:rsidDel="00000000" w:rsidR="00000000" w:rsidRPr="00000000">
        <w:rPr>
          <w:rFonts w:ascii="Inter" w:cs="Inter" w:eastAsia="Inter" w:hAnsi="Inter"/>
          <w:sz w:val="16"/>
          <w:szCs w:val="16"/>
          <w:rtl w:val="0"/>
        </w:rPr>
        <w:t xml:space="preserve">8</w:t>
      </w:r>
      <w:r w:rsidDel="00000000" w:rsidR="00000000" w:rsidRPr="00000000">
        <w:rPr>
          <w:rtl w:val="0"/>
        </w:rPr>
      </w:r>
    </w:p>
    <w:p w:rsidR="00000000" w:rsidDel="00000000" w:rsidP="00000000" w:rsidRDefault="00000000" w:rsidRPr="00000000" w14:paraId="00000023">
      <w:pPr>
        <w:spacing w:after="180" w:line="360" w:lineRule="auto"/>
        <w:jc w:val="both"/>
        <w:rPr>
          <w:rFonts w:ascii="Inter" w:cs="Inter" w:eastAsia="Inter" w:hAnsi="Inter"/>
          <w:sz w:val="20"/>
          <w:szCs w:val="20"/>
        </w:rPr>
      </w:pPr>
      <w:r w:rsidDel="00000000" w:rsidR="00000000" w:rsidRPr="00000000">
        <w:rPr>
          <w:rtl w:val="0"/>
        </w:rPr>
      </w:r>
    </w:p>
    <w:sectPr>
      <w:headerReference r:id="rId11" w:type="default"/>
      <w:headerReference r:id="rId12" w:type="first"/>
      <w:footerReference r:id="rId13" w:type="default"/>
      <w:footerReference r:id="rId14" w:type="first"/>
      <w:pgSz w:h="16838" w:w="11906" w:orient="portrait"/>
      <w:pgMar w:bottom="2834" w:top="3401" w:left="850" w:right="850" w:header="850"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rFonts w:ascii="Inter" w:cs="Inter" w:eastAsia="Inter" w:hAnsi="Inter"/>
        <w:b w:val="1"/>
        <w:sz w:val="16"/>
        <w:szCs w:val="16"/>
      </w:rPr>
    </w:pPr>
    <w:r w:rsidDel="00000000" w:rsidR="00000000" w:rsidRPr="00000000">
      <w:rPr>
        <w:rFonts w:ascii="Inter" w:cs="Inter" w:eastAsia="Inter" w:hAnsi="Inter"/>
        <w:b w:val="1"/>
        <w:sz w:val="16"/>
        <w:szCs w:val="16"/>
        <w:rtl w:val="0"/>
      </w:rPr>
      <w:t xml:space="preserve">Asociace strategické</w:t>
      <w:tab/>
      <w:tab/>
    </w:r>
    <w:r w:rsidDel="00000000" w:rsidR="00000000" w:rsidRPr="00000000">
      <w:rPr>
        <w:rFonts w:ascii="Inter" w:cs="Inter" w:eastAsia="Inter" w:hAnsi="Inter"/>
        <w:sz w:val="16"/>
        <w:szCs w:val="16"/>
        <w:rtl w:val="0"/>
      </w:rPr>
      <w:t xml:space="preserve">U Průhonu 1516/32</w:t>
      <w:tab/>
    </w:r>
    <w:r w:rsidDel="00000000" w:rsidR="00000000" w:rsidRPr="00000000">
      <w:rPr>
        <w:rtl w:val="0"/>
      </w:rPr>
    </w:r>
  </w:p>
  <w:p w:rsidR="00000000" w:rsidDel="00000000" w:rsidP="00000000" w:rsidRDefault="00000000" w:rsidRPr="00000000" w14:paraId="00000027">
    <w:pPr>
      <w:rPr>
        <w:rFonts w:ascii="Inter" w:cs="Inter" w:eastAsia="Inter" w:hAnsi="Inter"/>
        <w:b w:val="1"/>
        <w:sz w:val="16"/>
        <w:szCs w:val="16"/>
      </w:rPr>
    </w:pPr>
    <w:r w:rsidDel="00000000" w:rsidR="00000000" w:rsidRPr="00000000">
      <w:rPr>
        <w:rFonts w:ascii="Inter" w:cs="Inter" w:eastAsia="Inter" w:hAnsi="Inter"/>
        <w:b w:val="1"/>
        <w:sz w:val="16"/>
        <w:szCs w:val="16"/>
        <w:rtl w:val="0"/>
      </w:rPr>
      <w:t xml:space="preserve">komunikace a vztahů</w:t>
      <w:tab/>
      <w:tab/>
    </w:r>
    <w:r w:rsidDel="00000000" w:rsidR="00000000" w:rsidRPr="00000000">
      <w:rPr>
        <w:rFonts w:ascii="Inter" w:cs="Inter" w:eastAsia="Inter" w:hAnsi="Inter"/>
        <w:sz w:val="16"/>
        <w:szCs w:val="16"/>
        <w:rtl w:val="0"/>
      </w:rPr>
      <w:t xml:space="preserve">170 00  Praha 7</w:t>
    </w:r>
    <w:r w:rsidDel="00000000" w:rsidR="00000000" w:rsidRPr="00000000">
      <w:rPr>
        <w:rtl w:val="0"/>
      </w:rPr>
    </w:r>
  </w:p>
  <w:p w:rsidR="00000000" w:rsidDel="00000000" w:rsidP="00000000" w:rsidRDefault="00000000" w:rsidRPr="00000000" w14:paraId="00000028">
    <w:pPr>
      <w:rPr>
        <w:rFonts w:ascii="Inter" w:cs="Inter" w:eastAsia="Inter" w:hAnsi="Inter"/>
        <w:color w:val="3d85c6"/>
        <w:sz w:val="16"/>
        <w:szCs w:val="16"/>
        <w:u w:val="single"/>
      </w:rPr>
    </w:pPr>
    <w:r w:rsidDel="00000000" w:rsidR="00000000" w:rsidRPr="00000000">
      <w:rPr>
        <w:rFonts w:ascii="Inter" w:cs="Inter" w:eastAsia="Inter" w:hAnsi="Inter"/>
        <w:b w:val="1"/>
        <w:sz w:val="16"/>
        <w:szCs w:val="16"/>
        <w:rtl w:val="0"/>
      </w:rPr>
      <w:t xml:space="preserve">s veřejností, z. s.</w:t>
      <w:tab/>
      <w:tab/>
      <w:tab/>
    </w:r>
    <w:hyperlink r:id="rId1">
      <w:r w:rsidDel="00000000" w:rsidR="00000000" w:rsidRPr="00000000">
        <w:rPr>
          <w:rFonts w:ascii="Inter" w:cs="Inter" w:eastAsia="Inter" w:hAnsi="Inter"/>
          <w:color w:val="3d85c6"/>
          <w:sz w:val="16"/>
          <w:szCs w:val="16"/>
          <w:u w:val="single"/>
          <w:rtl w:val="0"/>
        </w:rPr>
        <w:t xml:space="preserve">www.prklub.cz</w:t>
      </w:r>
    </w:hyperlink>
    <w:r w:rsidDel="00000000" w:rsidR="00000000" w:rsidRPr="00000000">
      <w:rPr>
        <w:rtl w:val="0"/>
      </w:rPr>
    </w:r>
  </w:p>
  <w:p w:rsidR="00000000" w:rsidDel="00000000" w:rsidP="00000000" w:rsidRDefault="00000000" w:rsidRPr="00000000" w14:paraId="00000029">
    <w:pPr>
      <w:jc w:val="right"/>
      <w:rPr>
        <w:rFonts w:ascii="Inter" w:cs="Inter" w:eastAsia="Inter" w:hAnsi="Inter"/>
        <w:b w:val="1"/>
        <w:sz w:val="16"/>
        <w:szCs w:val="16"/>
      </w:rPr>
    </w:pPr>
    <w:r w:rsidDel="00000000" w:rsidR="00000000" w:rsidRPr="00000000">
      <w:rPr>
        <w:rFonts w:ascii="Inter" w:cs="Inter" w:eastAsia="Inter" w:hAnsi="Inter"/>
        <w:b w:val="1"/>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A">
    <w:pPr>
      <w:rPr>
        <w:rFonts w:ascii="Inter" w:cs="Inter" w:eastAsia="Inter" w:hAnsi="Inte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1124007" cy="74173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4007" cy="741731"/>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CZ"/>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 w:default="1">
    <w:name w:val="Normal"/>
    <w:qFormat w:val="1"/>
  </w:style>
  <w:style w:type="paragraph" w:styleId="Nadpis1">
    <w:name w:val="heading 1"/>
    <w:basedOn w:val="Normln"/>
    <w:next w:val="Normln"/>
    <w:uiPriority w:val="9"/>
    <w:qFormat w:val="1"/>
    <w:pPr>
      <w:keepNext w:val="1"/>
      <w:keepLines w:val="1"/>
      <w:spacing w:after="120" w:before="400"/>
      <w:outlineLvl w:val="0"/>
    </w:pPr>
    <w:rPr>
      <w:sz w:val="40"/>
      <w:szCs w:val="40"/>
    </w:rPr>
  </w:style>
  <w:style w:type="paragraph" w:styleId="Nadpis2">
    <w:name w:val="heading 2"/>
    <w:basedOn w:val="Normln"/>
    <w:next w:val="Normln"/>
    <w:uiPriority w:val="9"/>
    <w:semiHidden w:val="1"/>
    <w:unhideWhenUsed w:val="1"/>
    <w:qFormat w:val="1"/>
    <w:pPr>
      <w:keepNext w:val="1"/>
      <w:keepLines w:val="1"/>
      <w:spacing w:after="120" w:before="360"/>
      <w:outlineLvl w:val="1"/>
    </w:pPr>
    <w:rPr>
      <w:sz w:val="32"/>
      <w:szCs w:val="32"/>
    </w:rPr>
  </w:style>
  <w:style w:type="paragraph" w:styleId="Nadpis3">
    <w:name w:val="heading 3"/>
    <w:basedOn w:val="Normln"/>
    <w:next w:val="Normln"/>
    <w:uiPriority w:val="9"/>
    <w:semiHidden w:val="1"/>
    <w:unhideWhenUsed w:val="1"/>
    <w:qFormat w:val="1"/>
    <w:pPr>
      <w:keepNext w:val="1"/>
      <w:keepLines w:val="1"/>
      <w:spacing w:after="80" w:before="320"/>
      <w:outlineLvl w:val="2"/>
    </w:pPr>
    <w:rPr>
      <w:color w:val="434343"/>
      <w:sz w:val="28"/>
      <w:szCs w:val="28"/>
    </w:rPr>
  </w:style>
  <w:style w:type="paragraph" w:styleId="Nadpis4">
    <w:name w:val="heading 4"/>
    <w:basedOn w:val="Normln"/>
    <w:next w:val="Normln"/>
    <w:uiPriority w:val="9"/>
    <w:semiHidden w:val="1"/>
    <w:unhideWhenUsed w:val="1"/>
    <w:qFormat w:val="1"/>
    <w:pPr>
      <w:keepNext w:val="1"/>
      <w:keepLines w:val="1"/>
      <w:spacing w:after="80" w:before="280"/>
      <w:outlineLvl w:val="3"/>
    </w:pPr>
    <w:rPr>
      <w:color w:val="666666"/>
      <w:sz w:val="24"/>
      <w:szCs w:val="24"/>
    </w:rPr>
  </w:style>
  <w:style w:type="paragraph" w:styleId="Nadpis5">
    <w:name w:val="heading 5"/>
    <w:basedOn w:val="Normln"/>
    <w:next w:val="Normln"/>
    <w:uiPriority w:val="9"/>
    <w:semiHidden w:val="1"/>
    <w:unhideWhenUsed w:val="1"/>
    <w:qFormat w:val="1"/>
    <w:pPr>
      <w:keepNext w:val="1"/>
      <w:keepLines w:val="1"/>
      <w:spacing w:after="80" w:before="240"/>
      <w:outlineLvl w:val="4"/>
    </w:pPr>
    <w:rPr>
      <w:color w:val="666666"/>
    </w:rPr>
  </w:style>
  <w:style w:type="paragraph" w:styleId="Nadpis6">
    <w:name w:val="heading 6"/>
    <w:basedOn w:val="Normln"/>
    <w:next w:val="Normln"/>
    <w:uiPriority w:val="9"/>
    <w:semiHidden w:val="1"/>
    <w:unhideWhenUsed w:val="1"/>
    <w:qFormat w:val="1"/>
    <w:pPr>
      <w:keepNext w:val="1"/>
      <w:keepLines w:val="1"/>
      <w:spacing w:after="80" w:before="240"/>
      <w:outlineLvl w:val="5"/>
    </w:pPr>
    <w:rPr>
      <w:i w:val="1"/>
      <w:color w:val="66666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60"/>
    </w:pPr>
    <w:rPr>
      <w:sz w:val="52"/>
      <w:szCs w:val="52"/>
    </w:rPr>
  </w:style>
  <w:style w:type="paragraph" w:styleId="Podnadpis">
    <w:name w:val="Subtitle"/>
    <w:basedOn w:val="Normln"/>
    <w:next w:val="Normln"/>
    <w:uiPriority w:val="11"/>
    <w:qFormat w:val="1"/>
    <w:pPr>
      <w:keepNext w:val="1"/>
      <w:keepLines w:val="1"/>
      <w:spacing w:after="320"/>
    </w:pPr>
    <w:rPr>
      <w:color w:val="666666"/>
      <w:sz w:val="30"/>
      <w:szCs w:val="30"/>
    </w:rPr>
  </w:style>
  <w:style w:type="character" w:styleId="Hypertextovodkaz">
    <w:name w:val="Hyperlink"/>
    <w:basedOn w:val="Standardnpsmoodstavce"/>
    <w:uiPriority w:val="99"/>
    <w:unhideWhenUsed w:val="1"/>
    <w:rsid w:val="00A94711"/>
    <w:rPr>
      <w:color w:val="0000ff" w:themeColor="hyperlink"/>
      <w:u w:val="single"/>
    </w:rPr>
  </w:style>
  <w:style w:type="character" w:styleId="Nevyeenzmnka">
    <w:name w:val="Unresolved Mention"/>
    <w:basedOn w:val="Standardnpsmoodstavce"/>
    <w:uiPriority w:val="99"/>
    <w:semiHidden w:val="1"/>
    <w:unhideWhenUsed w:val="1"/>
    <w:rsid w:val="00A94711"/>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facebook.com/ASCOPACZ"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company/ascopacz/"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mluvci-roku.cz" TargetMode="External"/><Relationship Id="rId8" Type="http://schemas.openxmlformats.org/officeDocument/2006/relationships/hyperlink" Target="http://www.prklub.c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prklub.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HEpdMBZD1f9OCGE3jGMMBE613g==">CgMxLjA4AHIhMW14MlZlLUlEaHc0UXIxMkhBeUFsa0VhRVdQM3JXNEJl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2024-11-27T21:54:00Z</dcterms:created>
</cp:coreProperties>
</file>