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16"/>
          <w:szCs w:val="16"/>
        </w:rPr>
      </w:pPr>
      <w:r w:rsidDel="00000000" w:rsidR="00000000" w:rsidRPr="00000000">
        <w:rPr>
          <w:rtl w:val="0"/>
        </w:rPr>
      </w:r>
    </w:p>
    <w:p w:rsidR="00000000" w:rsidDel="00000000" w:rsidP="00000000" w:rsidRDefault="00000000" w:rsidRPr="00000000" w14:paraId="00000002">
      <w:pPr>
        <w:jc w:val="both"/>
        <w:rPr>
          <w:sz w:val="16"/>
          <w:szCs w:val="16"/>
        </w:rPr>
      </w:pPr>
      <w:r w:rsidDel="00000000" w:rsidR="00000000" w:rsidRPr="00000000">
        <w:rPr>
          <w:rtl w:val="0"/>
        </w:rPr>
      </w:r>
    </w:p>
    <w:p w:rsidR="00000000" w:rsidDel="00000000" w:rsidP="00000000" w:rsidRDefault="00000000" w:rsidRPr="00000000" w14:paraId="00000003">
      <w:pPr>
        <w:jc w:val="both"/>
        <w:rPr>
          <w:sz w:val="16"/>
          <w:szCs w:val="16"/>
        </w:rPr>
      </w:pPr>
      <w:r w:rsidDel="00000000" w:rsidR="00000000" w:rsidRPr="00000000">
        <w:rPr>
          <w:rtl w:val="0"/>
        </w:rPr>
      </w:r>
    </w:p>
    <w:p w:rsidR="00000000" w:rsidDel="00000000" w:rsidP="00000000" w:rsidRDefault="00000000" w:rsidRPr="00000000" w14:paraId="00000004">
      <w:pPr>
        <w:jc w:val="both"/>
        <w:rPr>
          <w:sz w:val="16"/>
          <w:szCs w:val="16"/>
        </w:rPr>
      </w:pPr>
      <w:r w:rsidDel="00000000" w:rsidR="00000000" w:rsidRPr="00000000">
        <w:rPr>
          <w:rtl w:val="0"/>
        </w:rPr>
      </w:r>
    </w:p>
    <w:p w:rsidR="00000000" w:rsidDel="00000000" w:rsidP="00000000" w:rsidRDefault="00000000" w:rsidRPr="00000000" w14:paraId="00000005">
      <w:pPr>
        <w:jc w:val="both"/>
        <w:rPr>
          <w:sz w:val="16"/>
          <w:szCs w:val="16"/>
        </w:rPr>
      </w:pPr>
      <w:r w:rsidDel="00000000" w:rsidR="00000000" w:rsidRPr="00000000">
        <w:rPr>
          <w:rtl w:val="0"/>
        </w:rPr>
      </w:r>
    </w:p>
    <w:p w:rsidR="00000000" w:rsidDel="00000000" w:rsidP="00000000" w:rsidRDefault="00000000" w:rsidRPr="00000000" w14:paraId="00000006">
      <w:pPr>
        <w:jc w:val="both"/>
        <w:rPr>
          <w:sz w:val="16"/>
          <w:szCs w:val="16"/>
        </w:rPr>
      </w:pPr>
      <w:r w:rsidDel="00000000" w:rsidR="00000000" w:rsidRPr="00000000">
        <w:rPr>
          <w:rtl w:val="0"/>
        </w:rPr>
      </w:r>
    </w:p>
    <w:p w:rsidR="00000000" w:rsidDel="00000000" w:rsidP="00000000" w:rsidRDefault="00000000" w:rsidRPr="00000000" w14:paraId="00000007">
      <w:pPr>
        <w:jc w:val="both"/>
        <w:rPr>
          <w:sz w:val="16"/>
          <w:szCs w:val="16"/>
        </w:rPr>
      </w:pPr>
      <w:r w:rsidDel="00000000" w:rsidR="00000000" w:rsidRPr="00000000">
        <w:rPr>
          <w:rtl w:val="0"/>
        </w:rPr>
      </w:r>
    </w:p>
    <w:p w:rsidR="00000000" w:rsidDel="00000000" w:rsidP="00000000" w:rsidRDefault="00000000" w:rsidRPr="00000000" w14:paraId="00000008">
      <w:pPr>
        <w:jc w:val="both"/>
        <w:rPr>
          <w:sz w:val="16"/>
          <w:szCs w:val="16"/>
        </w:rPr>
      </w:pPr>
      <w:r w:rsidDel="00000000" w:rsidR="00000000" w:rsidRPr="00000000">
        <w:rPr>
          <w:rtl w:val="0"/>
        </w:rPr>
      </w:r>
    </w:p>
    <w:p w:rsidR="00000000" w:rsidDel="00000000" w:rsidP="00000000" w:rsidRDefault="00000000" w:rsidRPr="00000000" w14:paraId="00000009">
      <w:pPr>
        <w:jc w:val="both"/>
        <w:rPr>
          <w:sz w:val="16"/>
          <w:szCs w:val="16"/>
        </w:rPr>
      </w:pPr>
      <w:r w:rsidDel="00000000" w:rsidR="00000000" w:rsidRPr="00000000">
        <w:rPr>
          <w:rtl w:val="0"/>
        </w:rPr>
      </w:r>
    </w:p>
    <w:p w:rsidR="00000000" w:rsidDel="00000000" w:rsidP="00000000" w:rsidRDefault="00000000" w:rsidRPr="00000000" w14:paraId="0000000A">
      <w:pPr>
        <w:spacing w:before="80" w:lineRule="auto"/>
        <w:jc w:val="both"/>
        <w:rPr>
          <w:b w:val="1"/>
          <w:sz w:val="16"/>
          <w:szCs w:val="16"/>
        </w:rPr>
      </w:pPr>
      <w:r w:rsidDel="00000000" w:rsidR="00000000" w:rsidRPr="00000000">
        <w:rPr>
          <w:rtl w:val="0"/>
        </w:rPr>
      </w:r>
    </w:p>
    <w:p w:rsidR="00000000" w:rsidDel="00000000" w:rsidP="00000000" w:rsidRDefault="00000000" w:rsidRPr="00000000" w14:paraId="0000000B">
      <w:pPr>
        <w:spacing w:line="276" w:lineRule="auto"/>
        <w:rPr>
          <w:b w:val="1"/>
          <w:color w:val="222222"/>
          <w:u w:val="single"/>
        </w:rPr>
      </w:pPr>
      <w:r w:rsidDel="00000000" w:rsidR="00000000" w:rsidRPr="00000000">
        <w:rPr>
          <w:b w:val="1"/>
          <w:color w:val="222222"/>
          <w:u w:val="single"/>
          <w:rtl w:val="0"/>
        </w:rPr>
        <w:t xml:space="preserve">TZ: Prodejní výstava </w:t>
      </w:r>
      <w:r w:rsidDel="00000000" w:rsidR="00000000" w:rsidRPr="00000000">
        <w:rPr>
          <w:b w:val="1"/>
          <w:color w:val="4d5156"/>
          <w:highlight w:val="white"/>
          <w:u w:val="single"/>
          <w:rtl w:val="0"/>
        </w:rPr>
        <w:t xml:space="preserve">–⁠ </w:t>
      </w:r>
      <w:r w:rsidDel="00000000" w:rsidR="00000000" w:rsidRPr="00000000">
        <w:rPr>
          <w:b w:val="1"/>
          <w:color w:val="222222"/>
          <w:u w:val="single"/>
          <w:rtl w:val="0"/>
        </w:rPr>
        <w:t xml:space="preserve">Vídeňský filharmonik</w:t>
      </w:r>
    </w:p>
    <w:p w:rsidR="00000000" w:rsidDel="00000000" w:rsidP="00000000" w:rsidRDefault="00000000" w:rsidRPr="00000000" w14:paraId="0000000C">
      <w:pPr>
        <w:spacing w:line="276" w:lineRule="auto"/>
        <w:ind w:left="2880" w:firstLine="720"/>
        <w:jc w:val="both"/>
        <w:rPr>
          <w:b w:val="1"/>
          <w:color w:val="222222"/>
          <w:u w:val="single"/>
        </w:rPr>
      </w:pPr>
      <w:r w:rsidDel="00000000" w:rsidR="00000000" w:rsidRPr="00000000">
        <w:rPr>
          <w:rtl w:val="0"/>
        </w:rPr>
      </w:r>
    </w:p>
    <w:p w:rsidR="00000000" w:rsidDel="00000000" w:rsidP="00000000" w:rsidRDefault="00000000" w:rsidRPr="00000000" w14:paraId="0000000D">
      <w:pPr>
        <w:spacing w:line="276" w:lineRule="auto"/>
        <w:rPr>
          <w:color w:val="222222"/>
          <w:sz w:val="20"/>
          <w:szCs w:val="20"/>
        </w:rPr>
      </w:pPr>
      <w:r w:rsidDel="00000000" w:rsidR="00000000" w:rsidRPr="00000000">
        <w:rPr>
          <w:color w:val="222222"/>
          <w:sz w:val="20"/>
          <w:szCs w:val="20"/>
          <w:rtl w:val="0"/>
        </w:rPr>
        <w:t xml:space="preserve">Ostrava, 30. března 2023</w:t>
      </w:r>
    </w:p>
    <w:p w:rsidR="00000000" w:rsidDel="00000000" w:rsidP="00000000" w:rsidRDefault="00000000" w:rsidRPr="00000000" w14:paraId="0000000E">
      <w:pPr>
        <w:spacing w:line="276" w:lineRule="auto"/>
        <w:jc w:val="both"/>
        <w:rPr>
          <w:color w:val="222222"/>
        </w:rPr>
      </w:pPr>
      <w:r w:rsidDel="00000000" w:rsidR="00000000" w:rsidRPr="00000000">
        <w:rPr>
          <w:rtl w:val="0"/>
        </w:rPr>
      </w:r>
    </w:p>
    <w:p w:rsidR="00000000" w:rsidDel="00000000" w:rsidP="00000000" w:rsidRDefault="00000000" w:rsidRPr="00000000" w14:paraId="0000000F">
      <w:pPr>
        <w:spacing w:line="276" w:lineRule="auto"/>
        <w:jc w:val="both"/>
        <w:rPr>
          <w:b w:val="1"/>
          <w:i w:val="1"/>
          <w:color w:val="202122"/>
        </w:rPr>
      </w:pPr>
      <w:r w:rsidDel="00000000" w:rsidR="00000000" w:rsidRPr="00000000">
        <w:rPr>
          <w:b w:val="1"/>
          <w:i w:val="1"/>
          <w:color w:val="202122"/>
          <w:rtl w:val="0"/>
        </w:rPr>
        <w:t xml:space="preserve">Zlaťáky.cz mají nově ve svém portfoliu zlatého Vídeňského filharmonika (Wiener Philharmoniker) –⁠ unikátní </w:t>
      </w:r>
      <w:r w:rsidDel="00000000" w:rsidR="00000000" w:rsidRPr="00000000">
        <w:rPr>
          <w:b w:val="1"/>
          <w:i w:val="1"/>
          <w:color w:val="202122"/>
          <w:rtl w:val="0"/>
        </w:rPr>
        <w:t xml:space="preserve">dvacetiuncovou</w:t>
      </w:r>
      <w:r w:rsidDel="00000000" w:rsidR="00000000" w:rsidRPr="00000000">
        <w:rPr>
          <w:b w:val="1"/>
          <w:i w:val="1"/>
          <w:color w:val="202122"/>
          <w:rtl w:val="0"/>
        </w:rPr>
        <w:t xml:space="preserve"> minci (622,06 g), vydanou rakouskou mincovnou v roce 2009 s nominální hodnotou 2 000 EUR. Mince vznikla v limitovaném množství 6 027 kusů pro celý svět: 2009 ks pro Evropu, 2009 ks pro Ameriku a 2009 ks pro Japonsko. Nejen tuto unikátní minci, ale i jiné “Vídeňské filharmoniky”, si budete moci prohlédnout, ale také zakoupit na ostravské kamenné prodejně Zlaťáky.cz vedle hotelu Imperial. Výstava </w:t>
      </w:r>
      <w:r w:rsidDel="00000000" w:rsidR="00000000" w:rsidRPr="00000000">
        <w:rPr>
          <w:b w:val="1"/>
          <w:i w:val="1"/>
          <w:color w:val="202122"/>
          <w:rtl w:val="0"/>
        </w:rPr>
        <w:t xml:space="preserve">dvacetiuncové</w:t>
      </w:r>
      <w:r w:rsidDel="00000000" w:rsidR="00000000" w:rsidRPr="00000000">
        <w:rPr>
          <w:b w:val="1"/>
          <w:i w:val="1"/>
          <w:color w:val="202122"/>
          <w:rtl w:val="0"/>
        </w:rPr>
        <w:t xml:space="preserve"> mince potrvá od 30.3.–⁠28.4. 2023.</w:t>
      </w:r>
    </w:p>
    <w:p w:rsidR="00000000" w:rsidDel="00000000" w:rsidP="00000000" w:rsidRDefault="00000000" w:rsidRPr="00000000" w14:paraId="00000010">
      <w:pPr>
        <w:spacing w:line="276" w:lineRule="auto"/>
        <w:jc w:val="center"/>
        <w:rPr>
          <w:color w:val="202122"/>
        </w:rPr>
      </w:pPr>
      <w:r w:rsidDel="00000000" w:rsidR="00000000" w:rsidRPr="00000000">
        <w:rPr>
          <w:rtl w:val="0"/>
        </w:rPr>
      </w:r>
    </w:p>
    <w:p w:rsidR="00000000" w:rsidDel="00000000" w:rsidP="00000000" w:rsidRDefault="00000000" w:rsidRPr="00000000" w14:paraId="00000011">
      <w:pPr>
        <w:spacing w:line="276" w:lineRule="auto"/>
        <w:jc w:val="center"/>
        <w:rPr>
          <w:color w:val="202122"/>
        </w:rPr>
      </w:pPr>
      <w:r w:rsidDel="00000000" w:rsidR="00000000" w:rsidRPr="00000000">
        <w:rPr>
          <w:color w:val="202122"/>
        </w:rPr>
        <w:drawing>
          <wp:inline distB="114300" distT="114300" distL="114300" distR="114300">
            <wp:extent cx="1726925" cy="1707843"/>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26925" cy="1707843"/>
                    </a:xfrm>
                    <a:prstGeom prst="rect"/>
                    <a:ln/>
                  </pic:spPr>
                </pic:pic>
              </a:graphicData>
            </a:graphic>
          </wp:inline>
        </w:drawing>
      </w:r>
      <w:r w:rsidDel="00000000" w:rsidR="00000000" w:rsidRPr="00000000">
        <w:rPr>
          <w:color w:val="202122"/>
          <w:rtl w:val="0"/>
        </w:rPr>
        <w:t xml:space="preserve">      </w:t>
      </w:r>
      <w:r w:rsidDel="00000000" w:rsidR="00000000" w:rsidRPr="00000000">
        <w:rPr>
          <w:color w:val="202122"/>
        </w:rPr>
        <w:drawing>
          <wp:inline distB="114300" distT="114300" distL="114300" distR="114300">
            <wp:extent cx="1730682" cy="1730682"/>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730682" cy="173068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line="276" w:lineRule="auto"/>
        <w:jc w:val="both"/>
        <w:rPr>
          <w:color w:val="202122"/>
        </w:rPr>
      </w:pPr>
      <w:r w:rsidDel="00000000" w:rsidR="00000000" w:rsidRPr="00000000">
        <w:rPr>
          <w:rtl w:val="0"/>
        </w:rPr>
      </w:r>
    </w:p>
    <w:p w:rsidR="00000000" w:rsidDel="00000000" w:rsidP="00000000" w:rsidRDefault="00000000" w:rsidRPr="00000000" w14:paraId="00000013">
      <w:pPr>
        <w:spacing w:line="276" w:lineRule="auto"/>
        <w:jc w:val="both"/>
        <w:rPr>
          <w:color w:val="202122"/>
        </w:rPr>
      </w:pPr>
      <w:r w:rsidDel="00000000" w:rsidR="00000000" w:rsidRPr="00000000">
        <w:rPr>
          <w:i w:val="1"/>
          <w:color w:val="202122"/>
          <w:rtl w:val="0"/>
        </w:rPr>
        <w:t xml:space="preserve">“Obecně platí, že tyto tradiční rakouské investiční mince zaručují vysokou likviditu a určitě tedy s jejich nákupem neuděláte chybu. Zajímavostí také je, že před čtrnácti lety se cena jedné unce zlata pohybovala na úrovni 18 300 Kč, zatímco nyní se hodnota trojské unce vyšplhala na cca </w:t>
      </w:r>
      <w:r w:rsidDel="00000000" w:rsidR="00000000" w:rsidRPr="00000000">
        <w:rPr>
          <w:i w:val="1"/>
          <w:color w:val="202122"/>
          <w:rtl w:val="0"/>
        </w:rPr>
        <w:t xml:space="preserve">42 700</w:t>
      </w:r>
      <w:r w:rsidDel="00000000" w:rsidR="00000000" w:rsidRPr="00000000">
        <w:rPr>
          <w:i w:val="1"/>
          <w:color w:val="202122"/>
          <w:rtl w:val="0"/>
        </w:rPr>
        <w:t xml:space="preserve"> Kč,” </w:t>
      </w:r>
      <w:r w:rsidDel="00000000" w:rsidR="00000000" w:rsidRPr="00000000">
        <w:rPr>
          <w:color w:val="202122"/>
          <w:rtl w:val="0"/>
        </w:rPr>
        <w:t xml:space="preserve">říká</w:t>
      </w:r>
      <w:r w:rsidDel="00000000" w:rsidR="00000000" w:rsidRPr="00000000">
        <w:rPr>
          <w:color w:val="202122"/>
          <w:rtl w:val="0"/>
        </w:rPr>
        <w:t xml:space="preserve"> analytik společnosti Zlaťáky.cz Jakub Petruška. </w:t>
      </w:r>
    </w:p>
    <w:p w:rsidR="00000000" w:rsidDel="00000000" w:rsidP="00000000" w:rsidRDefault="00000000" w:rsidRPr="00000000" w14:paraId="00000014">
      <w:pPr>
        <w:spacing w:line="276" w:lineRule="auto"/>
        <w:jc w:val="both"/>
        <w:rPr>
          <w:color w:val="202122"/>
        </w:rPr>
      </w:pPr>
      <w:r w:rsidDel="00000000" w:rsidR="00000000" w:rsidRPr="00000000">
        <w:rPr>
          <w:rtl w:val="0"/>
        </w:rPr>
      </w:r>
    </w:p>
    <w:p w:rsidR="00000000" w:rsidDel="00000000" w:rsidP="00000000" w:rsidRDefault="00000000" w:rsidRPr="00000000" w14:paraId="00000015">
      <w:pPr>
        <w:spacing w:line="276" w:lineRule="auto"/>
        <w:jc w:val="both"/>
        <w:rPr>
          <w:b w:val="1"/>
          <w:color w:val="202122"/>
        </w:rPr>
      </w:pPr>
      <w:r w:rsidDel="00000000" w:rsidR="00000000" w:rsidRPr="00000000">
        <w:rPr>
          <w:b w:val="1"/>
          <w:color w:val="202122"/>
          <w:rtl w:val="0"/>
        </w:rPr>
        <w:t xml:space="preserve">Vzhled a historie</w:t>
      </w:r>
    </w:p>
    <w:p w:rsidR="00000000" w:rsidDel="00000000" w:rsidP="00000000" w:rsidRDefault="00000000" w:rsidRPr="00000000" w14:paraId="00000016">
      <w:pPr>
        <w:spacing w:line="276" w:lineRule="auto"/>
        <w:jc w:val="both"/>
        <w:rPr>
          <w:color w:val="202122"/>
        </w:rPr>
      </w:pPr>
      <w:r w:rsidDel="00000000" w:rsidR="00000000" w:rsidRPr="00000000">
        <w:rPr>
          <w:rtl w:val="0"/>
        </w:rPr>
      </w:r>
    </w:p>
    <w:p w:rsidR="00000000" w:rsidDel="00000000" w:rsidP="00000000" w:rsidRDefault="00000000" w:rsidRPr="00000000" w14:paraId="00000017">
      <w:pPr>
        <w:spacing w:line="276" w:lineRule="auto"/>
        <w:jc w:val="both"/>
        <w:rPr>
          <w:color w:val="202122"/>
        </w:rPr>
      </w:pPr>
      <w:r w:rsidDel="00000000" w:rsidR="00000000" w:rsidRPr="00000000">
        <w:rPr>
          <w:color w:val="202122"/>
          <w:rtl w:val="0"/>
        </w:rPr>
        <w:t xml:space="preserve">Je známo, že Vídeňští filharmonici nesou název a design Vídeňské filharmonie a to již od roku 1989. Razí je rakouská mincovna Münze Österreich a jsou také oficiálním platidlem této země, protože jsou nositelem nominální hodnoty (1 unce = 100 EUR). Víme však, že nominál není reálná hodnota mince, ale pouze její zlomek, zatímco reálnou výši určuje aktuální cena daného kovu na trhu.</w:t>
      </w:r>
    </w:p>
    <w:p w:rsidR="00000000" w:rsidDel="00000000" w:rsidP="00000000" w:rsidRDefault="00000000" w:rsidRPr="00000000" w14:paraId="00000018">
      <w:pPr>
        <w:spacing w:line="276" w:lineRule="auto"/>
        <w:jc w:val="both"/>
        <w:rPr>
          <w:color w:val="202122"/>
        </w:rPr>
      </w:pPr>
      <w:r w:rsidDel="00000000" w:rsidR="00000000" w:rsidRPr="00000000">
        <w:rPr>
          <w:rtl w:val="0"/>
        </w:rPr>
      </w:r>
    </w:p>
    <w:p w:rsidR="00000000" w:rsidDel="00000000" w:rsidP="00000000" w:rsidRDefault="00000000" w:rsidRPr="00000000" w14:paraId="00000019">
      <w:pPr>
        <w:spacing w:line="276" w:lineRule="auto"/>
        <w:jc w:val="both"/>
        <w:rPr>
          <w:color w:val="202122"/>
        </w:rPr>
      </w:pPr>
      <w:r w:rsidDel="00000000" w:rsidR="00000000" w:rsidRPr="00000000">
        <w:rPr>
          <w:rtl w:val="0"/>
        </w:rPr>
      </w:r>
    </w:p>
    <w:p w:rsidR="00000000" w:rsidDel="00000000" w:rsidP="00000000" w:rsidRDefault="00000000" w:rsidRPr="00000000" w14:paraId="0000001A">
      <w:pPr>
        <w:spacing w:line="276" w:lineRule="auto"/>
        <w:jc w:val="both"/>
        <w:rPr>
          <w:color w:val="202122"/>
        </w:rPr>
      </w:pPr>
      <w:r w:rsidDel="00000000" w:rsidR="00000000" w:rsidRPr="00000000">
        <w:rPr>
          <w:rtl w:val="0"/>
        </w:rPr>
      </w:r>
    </w:p>
    <w:p w:rsidR="00000000" w:rsidDel="00000000" w:rsidP="00000000" w:rsidRDefault="00000000" w:rsidRPr="00000000" w14:paraId="0000001B">
      <w:pPr>
        <w:spacing w:line="276" w:lineRule="auto"/>
        <w:jc w:val="both"/>
        <w:rPr>
          <w:color w:val="202122"/>
        </w:rPr>
      </w:pPr>
      <w:r w:rsidDel="00000000" w:rsidR="00000000" w:rsidRPr="00000000">
        <w:rPr>
          <w:rtl w:val="0"/>
        </w:rPr>
      </w:r>
    </w:p>
    <w:p w:rsidR="00000000" w:rsidDel="00000000" w:rsidP="00000000" w:rsidRDefault="00000000" w:rsidRPr="00000000" w14:paraId="0000001C">
      <w:pPr>
        <w:spacing w:line="276" w:lineRule="auto"/>
        <w:jc w:val="both"/>
        <w:rPr>
          <w:color w:val="202122"/>
        </w:rPr>
      </w:pPr>
      <w:r w:rsidDel="00000000" w:rsidR="00000000" w:rsidRPr="00000000">
        <w:rPr>
          <w:rtl w:val="0"/>
        </w:rPr>
      </w:r>
    </w:p>
    <w:p w:rsidR="00000000" w:rsidDel="00000000" w:rsidP="00000000" w:rsidRDefault="00000000" w:rsidRPr="00000000" w14:paraId="0000001D">
      <w:pPr>
        <w:spacing w:line="276" w:lineRule="auto"/>
        <w:jc w:val="both"/>
        <w:rPr>
          <w:color w:val="202122"/>
        </w:rPr>
      </w:pPr>
      <w:r w:rsidDel="00000000" w:rsidR="00000000" w:rsidRPr="00000000">
        <w:rPr>
          <w:rtl w:val="0"/>
        </w:rPr>
      </w:r>
    </w:p>
    <w:p w:rsidR="00000000" w:rsidDel="00000000" w:rsidP="00000000" w:rsidRDefault="00000000" w:rsidRPr="00000000" w14:paraId="0000001E">
      <w:pPr>
        <w:spacing w:line="276" w:lineRule="auto"/>
        <w:jc w:val="both"/>
        <w:rPr>
          <w:color w:val="202122"/>
        </w:rPr>
      </w:pPr>
      <w:r w:rsidDel="00000000" w:rsidR="00000000" w:rsidRPr="00000000">
        <w:rPr>
          <w:rtl w:val="0"/>
        </w:rPr>
      </w:r>
    </w:p>
    <w:p w:rsidR="00000000" w:rsidDel="00000000" w:rsidP="00000000" w:rsidRDefault="00000000" w:rsidRPr="00000000" w14:paraId="0000001F">
      <w:pPr>
        <w:spacing w:line="276" w:lineRule="auto"/>
        <w:jc w:val="both"/>
        <w:rPr>
          <w:color w:val="202122"/>
        </w:rPr>
      </w:pPr>
      <w:r w:rsidDel="00000000" w:rsidR="00000000" w:rsidRPr="00000000">
        <w:rPr>
          <w:rtl w:val="0"/>
        </w:rPr>
      </w:r>
    </w:p>
    <w:p w:rsidR="00000000" w:rsidDel="00000000" w:rsidP="00000000" w:rsidRDefault="00000000" w:rsidRPr="00000000" w14:paraId="00000020">
      <w:pPr>
        <w:spacing w:line="276" w:lineRule="auto"/>
        <w:jc w:val="both"/>
        <w:rPr>
          <w:color w:val="202122"/>
        </w:rPr>
      </w:pPr>
      <w:r w:rsidDel="00000000" w:rsidR="00000000" w:rsidRPr="00000000">
        <w:rPr>
          <w:rtl w:val="0"/>
        </w:rPr>
      </w:r>
    </w:p>
    <w:p w:rsidR="00000000" w:rsidDel="00000000" w:rsidP="00000000" w:rsidRDefault="00000000" w:rsidRPr="00000000" w14:paraId="00000021">
      <w:pPr>
        <w:spacing w:line="276" w:lineRule="auto"/>
        <w:jc w:val="both"/>
        <w:rPr>
          <w:color w:val="202122"/>
        </w:rPr>
      </w:pPr>
      <w:r w:rsidDel="00000000" w:rsidR="00000000" w:rsidRPr="00000000">
        <w:rPr>
          <w:rtl w:val="0"/>
        </w:rPr>
      </w:r>
    </w:p>
    <w:p w:rsidR="00000000" w:rsidDel="00000000" w:rsidP="00000000" w:rsidRDefault="00000000" w:rsidRPr="00000000" w14:paraId="00000022">
      <w:pPr>
        <w:spacing w:line="276" w:lineRule="auto"/>
        <w:jc w:val="both"/>
        <w:rPr>
          <w:color w:val="202122"/>
        </w:rPr>
      </w:pPr>
      <w:r w:rsidDel="00000000" w:rsidR="00000000" w:rsidRPr="00000000">
        <w:rPr>
          <w:rtl w:val="0"/>
        </w:rPr>
      </w:r>
    </w:p>
    <w:p w:rsidR="00000000" w:rsidDel="00000000" w:rsidP="00000000" w:rsidRDefault="00000000" w:rsidRPr="00000000" w14:paraId="00000023">
      <w:pPr>
        <w:spacing w:line="276" w:lineRule="auto"/>
        <w:jc w:val="both"/>
        <w:rPr>
          <w:color w:val="202122"/>
        </w:rPr>
      </w:pPr>
      <w:r w:rsidDel="00000000" w:rsidR="00000000" w:rsidRPr="00000000">
        <w:rPr>
          <w:rtl w:val="0"/>
        </w:rPr>
      </w:r>
    </w:p>
    <w:p w:rsidR="00000000" w:rsidDel="00000000" w:rsidP="00000000" w:rsidRDefault="00000000" w:rsidRPr="00000000" w14:paraId="00000024">
      <w:pPr>
        <w:spacing w:line="276" w:lineRule="auto"/>
        <w:jc w:val="both"/>
        <w:rPr>
          <w:color w:val="202122"/>
        </w:rPr>
      </w:pPr>
      <w:r w:rsidDel="00000000" w:rsidR="00000000" w:rsidRPr="00000000">
        <w:rPr>
          <w:color w:val="202122"/>
          <w:rtl w:val="0"/>
        </w:rPr>
        <w:t xml:space="preserve">Motiv se nemění již od samotného návrhu, který schválila Rakouská národní rada v roce 1988, tedy rok před oficiálním vydáním. Vídeňský filharmonik se celkem rychle zařadil na seznam nejoblíbenějších světových investičních mincí, do nějž patří například Krugerrand (1967), Maple Leaf (1979), Panda (1982), Australian Kangaroo (1986), American Eagle (1986), Britannia (1987) nebo American Buffalo (2006). </w:t>
      </w:r>
    </w:p>
    <w:p w:rsidR="00000000" w:rsidDel="00000000" w:rsidP="00000000" w:rsidRDefault="00000000" w:rsidRPr="00000000" w14:paraId="00000025">
      <w:pPr>
        <w:spacing w:line="276" w:lineRule="auto"/>
        <w:jc w:val="both"/>
        <w:rPr>
          <w:color w:val="202122"/>
        </w:rPr>
      </w:pPr>
      <w:r w:rsidDel="00000000" w:rsidR="00000000" w:rsidRPr="00000000">
        <w:rPr>
          <w:rtl w:val="0"/>
        </w:rPr>
      </w:r>
    </w:p>
    <w:p w:rsidR="00000000" w:rsidDel="00000000" w:rsidP="00000000" w:rsidRDefault="00000000" w:rsidRPr="00000000" w14:paraId="00000026">
      <w:pPr>
        <w:spacing w:line="276" w:lineRule="auto"/>
        <w:jc w:val="both"/>
        <w:rPr>
          <w:color w:val="202122"/>
        </w:rPr>
      </w:pPr>
      <w:r w:rsidDel="00000000" w:rsidR="00000000" w:rsidRPr="00000000">
        <w:rPr>
          <w:color w:val="202122"/>
          <w:rtl w:val="0"/>
        </w:rPr>
        <w:t xml:space="preserve">Zlatí filharmonici se vyrábějí z ryzího 24karátového zlata. Na lícní straně je motiv varhan ve Zlatém sále vídeňského Musikvereinu, sídla Vídeňské filharmonie. Od první ražby jsou na rubové straně mince zobrazeny nástroje slavného vídeňského orchestru, a to lesní roh, fagot, harfa, violoncello (uprostřed) a housle (dole). Pro jejich velký úspěch se v roce 2008 začaly razit také stříbrné mince a v roce 2016 i platinové. </w:t>
      </w:r>
    </w:p>
    <w:p w:rsidR="00000000" w:rsidDel="00000000" w:rsidP="00000000" w:rsidRDefault="00000000" w:rsidRPr="00000000" w14:paraId="00000027">
      <w:pPr>
        <w:jc w:val="both"/>
        <w:rPr>
          <w:b w:val="1"/>
          <w:color w:val="222222"/>
          <w:highlight w:val="white"/>
        </w:rPr>
      </w:pPr>
      <w:r w:rsidDel="00000000" w:rsidR="00000000" w:rsidRPr="00000000">
        <w:rPr>
          <w:rtl w:val="0"/>
        </w:rPr>
      </w:r>
    </w:p>
    <w:p w:rsidR="00000000" w:rsidDel="00000000" w:rsidP="00000000" w:rsidRDefault="00000000" w:rsidRPr="00000000" w14:paraId="00000028">
      <w:pPr>
        <w:jc w:val="center"/>
        <w:rPr>
          <w:highlight w:val="white"/>
        </w:rPr>
      </w:pPr>
      <w:r w:rsidDel="00000000" w:rsidR="00000000" w:rsidRPr="00000000">
        <w:rPr>
          <w:highlight w:val="white"/>
          <w:rtl w:val="0"/>
        </w:rPr>
        <w:t xml:space="preserve">---------------------------------------------------------------------------------------------------------------------</w:t>
      </w:r>
    </w:p>
    <w:p w:rsidR="00000000" w:rsidDel="00000000" w:rsidP="00000000" w:rsidRDefault="00000000" w:rsidRPr="00000000" w14:paraId="00000029">
      <w:pPr>
        <w:spacing w:before="120" w:lineRule="auto"/>
        <w:jc w:val="both"/>
        <w:rPr>
          <w:b w:val="1"/>
        </w:rPr>
      </w:pPr>
      <w:r w:rsidDel="00000000" w:rsidR="00000000" w:rsidRPr="00000000">
        <w:rPr>
          <w:b w:val="1"/>
          <w:sz w:val="20"/>
          <w:szCs w:val="20"/>
          <w:rtl w:val="0"/>
        </w:rPr>
        <w:t xml:space="preserve">Společnost Zlaťáky.cz</w:t>
      </w:r>
      <w:r w:rsidDel="00000000" w:rsidR="00000000" w:rsidRPr="00000000">
        <w:rPr>
          <w:sz w:val="20"/>
          <w:szCs w:val="20"/>
          <w:rtl w:val="0"/>
        </w:rPr>
        <w:t xml:space="preserve"> vznikla v roce 2006 a specializuje se na nákup a prodej investičního zlata, stříbra a numismatiky. Se vstupem nového majitele, investora Karla Holoubka, se rozrostla prodejní síť i sortiment zboží a poskytovaných služeb. Dynamický růst miliardové firmy podpořila modernizace e-shopu, vytvoření konsolidačního skladu, navýšení skladových zásob zlata i stříbra a otevření nových kamenných poboček. V současné době má společnost 8 prodejen v Česku a na Slovensku. Zákazníci zde mohou zlato nejen nakoupit, ale také prodat.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A">
      <w:pPr>
        <w:jc w:val="both"/>
        <w:rPr>
          <w:b w:val="1"/>
          <w:highlight w:val="white"/>
        </w:rPr>
      </w:pPr>
      <w:r w:rsidDel="00000000" w:rsidR="00000000" w:rsidRPr="00000000">
        <w:rPr>
          <w:rtl w:val="0"/>
        </w:rPr>
      </w:r>
    </w:p>
    <w:p w:rsidR="00000000" w:rsidDel="00000000" w:rsidP="00000000" w:rsidRDefault="00000000" w:rsidRPr="00000000" w14:paraId="0000002B">
      <w:pPr>
        <w:jc w:val="both"/>
        <w:rPr>
          <w:b w:val="1"/>
          <w:color w:val="222222"/>
        </w:rPr>
      </w:pPr>
      <w:r w:rsidDel="00000000" w:rsidR="00000000" w:rsidRPr="00000000">
        <w:rPr>
          <w:rtl w:val="0"/>
        </w:rPr>
      </w:r>
    </w:p>
    <w:p w:rsidR="00000000" w:rsidDel="00000000" w:rsidP="00000000" w:rsidRDefault="00000000" w:rsidRPr="00000000" w14:paraId="0000002C">
      <w:pPr>
        <w:spacing w:line="331.20000000000005" w:lineRule="auto"/>
        <w:jc w:val="both"/>
        <w:rPr>
          <w:b w:val="1"/>
          <w:sz w:val="20"/>
          <w:szCs w:val="20"/>
        </w:rPr>
      </w:pPr>
      <w:r w:rsidDel="00000000" w:rsidR="00000000" w:rsidRPr="00000000">
        <w:rPr>
          <w:rtl w:val="0"/>
        </w:rPr>
      </w:r>
    </w:p>
    <w:p w:rsidR="00000000" w:rsidDel="00000000" w:rsidP="00000000" w:rsidRDefault="00000000" w:rsidRPr="00000000" w14:paraId="0000002D">
      <w:pPr>
        <w:spacing w:line="331.20000000000005" w:lineRule="auto"/>
        <w:jc w:val="both"/>
        <w:rPr>
          <w:b w:val="1"/>
          <w:sz w:val="20"/>
          <w:szCs w:val="20"/>
        </w:rPr>
      </w:pPr>
      <w:r w:rsidDel="00000000" w:rsidR="00000000" w:rsidRPr="00000000">
        <w:rPr>
          <w:b w:val="1"/>
          <w:sz w:val="20"/>
          <w:szCs w:val="20"/>
          <w:rtl w:val="0"/>
        </w:rPr>
        <w:t xml:space="preserve">Kontakt pro média: </w:t>
      </w:r>
    </w:p>
    <w:p w:rsidR="00000000" w:rsidDel="00000000" w:rsidP="00000000" w:rsidRDefault="00000000" w:rsidRPr="00000000" w14:paraId="0000002E">
      <w:pPr>
        <w:jc w:val="both"/>
        <w:rPr>
          <w:sz w:val="20"/>
          <w:szCs w:val="20"/>
        </w:rPr>
      </w:pPr>
      <w:r w:rsidDel="00000000" w:rsidR="00000000" w:rsidRPr="00000000">
        <w:rPr>
          <w:rtl w:val="0"/>
        </w:rPr>
      </w:r>
    </w:p>
    <w:p w:rsidR="00000000" w:rsidDel="00000000" w:rsidP="00000000" w:rsidRDefault="00000000" w:rsidRPr="00000000" w14:paraId="0000002F">
      <w:pPr>
        <w:spacing w:line="331.20000000000005" w:lineRule="auto"/>
        <w:jc w:val="both"/>
        <w:rPr>
          <w:sz w:val="20"/>
          <w:szCs w:val="20"/>
        </w:rPr>
      </w:pPr>
      <w:r w:rsidDel="00000000" w:rsidR="00000000" w:rsidRPr="00000000">
        <w:rPr>
          <w:sz w:val="20"/>
          <w:szCs w:val="20"/>
          <w:rtl w:val="0"/>
        </w:rPr>
        <w:t xml:space="preserve">Dominika Bártová</w:t>
      </w:r>
    </w:p>
    <w:p w:rsidR="00000000" w:rsidDel="00000000" w:rsidP="00000000" w:rsidRDefault="00000000" w:rsidRPr="00000000" w14:paraId="00000030">
      <w:pPr>
        <w:spacing w:line="331.20000000000005" w:lineRule="auto"/>
        <w:jc w:val="both"/>
        <w:rPr>
          <w:sz w:val="20"/>
          <w:szCs w:val="20"/>
        </w:rPr>
      </w:pPr>
      <w:r w:rsidDel="00000000" w:rsidR="00000000" w:rsidRPr="00000000">
        <w:rPr>
          <w:sz w:val="20"/>
          <w:szCs w:val="20"/>
          <w:rtl w:val="0"/>
        </w:rPr>
        <w:t xml:space="preserve">PR Manager Zlaťáky.cz</w:t>
      </w:r>
    </w:p>
    <w:p w:rsidR="00000000" w:rsidDel="00000000" w:rsidP="00000000" w:rsidRDefault="00000000" w:rsidRPr="00000000" w14:paraId="00000031">
      <w:pPr>
        <w:spacing w:line="331.20000000000005" w:lineRule="auto"/>
        <w:jc w:val="both"/>
        <w:rPr>
          <w:sz w:val="20"/>
          <w:szCs w:val="20"/>
        </w:rPr>
      </w:pPr>
      <w:r w:rsidDel="00000000" w:rsidR="00000000" w:rsidRPr="00000000">
        <w:rPr>
          <w:sz w:val="20"/>
          <w:szCs w:val="20"/>
          <w:rtl w:val="0"/>
        </w:rPr>
        <w:t xml:space="preserve">Tel.: 607 846 988</w:t>
      </w:r>
    </w:p>
    <w:p w:rsidR="00000000" w:rsidDel="00000000" w:rsidP="00000000" w:rsidRDefault="00000000" w:rsidRPr="00000000" w14:paraId="00000032">
      <w:pPr>
        <w:spacing w:line="331.20000000000005" w:lineRule="auto"/>
        <w:jc w:val="both"/>
        <w:rPr>
          <w:b w:val="1"/>
          <w:color w:val="1155cc"/>
          <w:sz w:val="20"/>
          <w:szCs w:val="20"/>
        </w:rPr>
      </w:pPr>
      <w:r w:rsidDel="00000000" w:rsidR="00000000" w:rsidRPr="00000000">
        <w:rPr>
          <w:sz w:val="20"/>
          <w:szCs w:val="20"/>
          <w:rtl w:val="0"/>
        </w:rPr>
        <w:t xml:space="preserve">E-mail: dominika.bartova@zlataky.cz</w:t>
      </w:r>
      <w:r w:rsidDel="00000000" w:rsidR="00000000" w:rsidRPr="00000000">
        <w:rPr>
          <w:rtl w:val="0"/>
        </w:rPr>
      </w:r>
    </w:p>
    <w:p w:rsidR="00000000" w:rsidDel="00000000" w:rsidP="00000000" w:rsidRDefault="00000000" w:rsidRPr="00000000" w14:paraId="00000033">
      <w:pPr>
        <w:spacing w:line="276" w:lineRule="auto"/>
        <w:jc w:val="both"/>
        <w:rPr>
          <w:b w:val="1"/>
        </w:rPr>
      </w:pPr>
      <w:r w:rsidDel="00000000" w:rsidR="00000000" w:rsidRPr="00000000">
        <w:rPr>
          <w:rtl w:val="0"/>
        </w:rPr>
      </w:r>
    </w:p>
    <w:p w:rsidR="00000000" w:rsidDel="00000000" w:rsidP="00000000" w:rsidRDefault="00000000" w:rsidRPr="00000000" w14:paraId="00000034">
      <w:pPr>
        <w:jc w:val="both"/>
        <w:rPr>
          <w:b w:val="1"/>
          <w:sz w:val="16"/>
          <w:szCs w:val="16"/>
        </w:rPr>
      </w:pPr>
      <w:r w:rsidDel="00000000" w:rsidR="00000000" w:rsidRPr="00000000">
        <w:rPr>
          <w:rtl w:val="0"/>
        </w:rPr>
      </w:r>
    </w:p>
    <w:p w:rsidR="00000000" w:rsidDel="00000000" w:rsidP="00000000" w:rsidRDefault="00000000" w:rsidRPr="00000000" w14:paraId="00000035">
      <w:pPr>
        <w:jc w:val="both"/>
        <w:rPr>
          <w:sz w:val="16"/>
          <w:szCs w:val="16"/>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rPr/>
    </w:pPr>
    <w:r w:rsidDel="00000000" w:rsidR="00000000" w:rsidRPr="00000000">
      <w:rPr/>
      <w:pict>
        <v:shape id="WordPictureWatermark1" style="position:absolute;width:596.1768503937008pt;height:842.1466929133858pt;rotation:0;z-index:-503316481;mso-position-horizontal-relative:margin;mso-position-horizontal:absolute;margin-left:-72.4871653543307pt;mso-position-vertical-relative:margin;mso-position-vertical:absolute;margin-top:-70.77165354330708pt;"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f7LEXmJauyG9ZLmFupqrD8etMA==">AMUW2mXrDND5mMNUgGXDSYi0wpwfaPNaUmb/zASA6l4MvPWrc/Cu12F0fdnNoLGJoEhAan0i5PBqNccLhT4d5+WDShOOtn1ZKo+qtRkjtARG6w7p+XHHZTc=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