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rFonts w:ascii="Direct Sans" w:cs="Direct Sans" w:eastAsia="Direct Sans" w:hAnsi="Direct Sans"/>
          <w:i w:val="1"/>
          <w:iCs w:val="1"/>
          <w:color w:val="004033"/>
          <w:sz w:val="32"/>
          <w:szCs w:val="32"/>
        </w:rPr>
      </w:pPr>
      <w:r w:rsidDel="00000000" w:rsidR="00000000" w:rsidRPr="00000000">
        <w:rPr>
          <w:rtl w:val="0"/>
        </w:rPr>
      </w:r>
    </w:p>
    <w:p w:rsidR="00000000" w:rsidDel="00000000" w:rsidP="00000000" w:rsidRDefault="00000000" w:rsidRPr="00000000" w14:paraId="00000002">
      <w:pPr>
        <w:spacing w:line="192" w:lineRule="auto"/>
        <w:ind w:right="851"/>
        <w:rPr>
          <w:rFonts w:ascii="Direct Sans Semibold" w:cs="Direct Sans Semibold" w:eastAsia="Direct Sans Semibold" w:hAnsi="Direct Sans Semibold"/>
          <w:b w:val="1"/>
          <w:bCs w:val="1"/>
          <w:color w:val="004033"/>
          <w:sz w:val="60"/>
          <w:szCs w:val="60"/>
        </w:rPr>
      </w:pPr>
      <w:r w:rsidDel="00000000" w:rsidR="00000000" w:rsidRPr="00000000">
        <w:rPr>
          <w:rFonts w:ascii="Direct Sans Semibold" w:cs="Direct Sans Semibold" w:eastAsia="Direct Sans Semibold" w:hAnsi="Direct Sans Semibold"/>
          <w:b w:val="1"/>
          <w:bCs w:val="1"/>
          <w:color w:val="004033"/>
          <w:sz w:val="60"/>
          <w:szCs w:val="60"/>
          <w:rtl w:val="0"/>
        </w:rPr>
        <w:t xml:space="preserve">Čeští rodiče chtějí dětem naspořit na bydlení. Většina ale stále volí příliš konzervativní cestu</w:t>
      </w:r>
    </w:p>
    <w:p w:rsidR="00000000" w:rsidDel="00000000" w:rsidP="00000000" w:rsidRDefault="00000000" w:rsidRPr="00000000" w14:paraId="00000003">
      <w:pPr>
        <w:spacing w:before="240" w:line="192" w:lineRule="auto"/>
        <w:ind w:right="851"/>
        <w:rPr>
          <w:rFonts w:ascii="Direct Sans Medium" w:cs="Direct Sans Medium" w:eastAsia="Direct Sans Medium" w:hAnsi="Direct Sans Medium"/>
          <w:color w:val="004033"/>
          <w:sz w:val="36"/>
          <w:szCs w:val="36"/>
        </w:rPr>
      </w:pPr>
      <w:r w:rsidDel="00000000" w:rsidR="00000000" w:rsidRPr="00000000">
        <w:rPr>
          <w:rFonts w:ascii="Direct Sans Medium" w:cs="Direct Sans Medium" w:eastAsia="Direct Sans Medium" w:hAnsi="Direct Sans Medium"/>
          <w:color w:val="004033"/>
          <w:sz w:val="36"/>
          <w:szCs w:val="36"/>
          <w:rtl w:val="0"/>
        </w:rPr>
        <w:t xml:space="preserve">Drtivá většina českých rodičů pro své děti spoří nebo tvoří finanční rezervu. Nejčastěji ale využívají spořicí účty a stavební spoření, tedy nástroje, které ani při dlouhém horizontu často peníze dostatečně neochrání před inflací. Vyplývá to z nového průzkumu investiční platformy Direct Fondee, který zprostředkovala agentura Ipsos mezi více než 500 rodiči.</w:t>
      </w:r>
    </w:p>
    <w:p w:rsidR="00000000" w:rsidDel="00000000" w:rsidP="00000000" w:rsidRDefault="00000000" w:rsidRPr="00000000" w14:paraId="00000004">
      <w:pPr>
        <w:spacing w:before="240" w:line="192" w:lineRule="auto"/>
        <w:ind w:right="851"/>
        <w:rPr>
          <w:rFonts w:ascii="Direct Sans Medium" w:cs="Direct Sans Medium" w:eastAsia="Direct Sans Medium" w:hAnsi="Direct Sans Medium"/>
          <w:color w:val="004033"/>
          <w:sz w:val="36"/>
          <w:szCs w:val="36"/>
        </w:rPr>
      </w:pPr>
      <w:r w:rsidDel="00000000" w:rsidR="00000000" w:rsidRPr="00000000">
        <w:rPr>
          <w:rtl w:val="0"/>
        </w:rPr>
      </w:r>
    </w:p>
    <w:p w:rsidR="00000000" w:rsidDel="00000000" w:rsidP="00000000" w:rsidRDefault="00000000" w:rsidRPr="00000000" w14:paraId="00000005">
      <w:pPr>
        <w:rPr>
          <w:rFonts w:ascii="Direct Sans Medium" w:cs="Direct Sans Medium" w:eastAsia="Direct Sans Medium" w:hAnsi="Direct Sans Medium"/>
          <w:color w:val="004033"/>
          <w:sz w:val="20"/>
          <w:szCs w:val="20"/>
        </w:rPr>
      </w:pPr>
      <w:r w:rsidDel="00000000" w:rsidR="00000000" w:rsidRPr="00000000">
        <w:rPr>
          <w:rFonts w:ascii="Direct Sans Medium" w:cs="Direct Sans Medium" w:eastAsia="Direct Sans Medium" w:hAnsi="Direct Sans Medium"/>
          <w:color w:val="004033"/>
          <w:sz w:val="20"/>
          <w:szCs w:val="20"/>
          <w:rtl w:val="0"/>
        </w:rPr>
        <w:t xml:space="preserve">•</w:t>
        <w:tab/>
        <w:t xml:space="preserve">57 % spoří pravidelně každý měsíc.</w:t>
        <w:br w:type="textWrapping"/>
        <w:t xml:space="preserve">•</w:t>
        <w:tab/>
        <w:t xml:space="preserve">38 % spoří hlavně na budoucí bydlení.</w:t>
        <w:br w:type="textWrapping"/>
        <w:t xml:space="preserve">•</w:t>
        <w:tab/>
        <w:t xml:space="preserve">29 % využívá spořicí účet.</w:t>
        <w:br w:type="textWrapping"/>
        <w:t xml:space="preserve">•</w:t>
        <w:tab/>
        <w:t xml:space="preserve">21 % využívá stavební spoření.</w:t>
        <w:br w:type="textWrapping"/>
        <w:t xml:space="preserve">•</w:t>
        <w:tab/>
        <w:t xml:space="preserve">Fondy a ETF jako hlavní nástroj využívá zatím menšina rodičů.</w:t>
        <w:br w:type="textWrapping"/>
        <w:t xml:space="preserve">•</w:t>
        <w:tab/>
        <w:t xml:space="preserve">Rodiče dělají správnou věc, jen často příliš konzervativním způsobem.</w:t>
      </w:r>
    </w:p>
    <w:p w:rsidR="00000000" w:rsidDel="00000000" w:rsidP="00000000" w:rsidRDefault="00000000" w:rsidRPr="00000000" w14:paraId="00000006">
      <w:pPr>
        <w:rPr>
          <w:rFonts w:ascii="Direct Sans" w:cs="Direct Sans" w:eastAsia="Direct Sans" w:hAnsi="Direct Sans"/>
          <w:color w:val="004033"/>
          <w:sz w:val="20"/>
          <w:szCs w:val="20"/>
        </w:rPr>
      </w:pPr>
      <w:r w:rsidDel="00000000" w:rsidR="00000000" w:rsidRPr="00000000">
        <w:rPr>
          <w:rtl w:val="0"/>
        </w:rPr>
      </w:r>
    </w:p>
    <w:p w:rsidR="00000000" w:rsidDel="00000000" w:rsidP="00000000" w:rsidRDefault="00000000" w:rsidRPr="00000000" w14:paraId="00000007">
      <w:pPr>
        <w:rPr>
          <w:color w:val="004033"/>
          <w:sz w:val="20"/>
          <w:szCs w:val="20"/>
        </w:rPr>
      </w:pPr>
      <w:r w:rsidDel="00000000" w:rsidR="00000000" w:rsidRPr="00000000">
        <w:rPr>
          <w:rFonts w:ascii="Direct Sans" w:cs="Direct Sans" w:eastAsia="Direct Sans" w:hAnsi="Direct Sans"/>
          <w:color w:val="004033"/>
          <w:sz w:val="20"/>
          <w:szCs w:val="20"/>
          <w:rtl w:val="0"/>
        </w:rPr>
        <w:t xml:space="preserve">Naprostá většina tuzemských rodičů nezaopatřených dětí svým potomkům spoří. Více než polovina (57 %) odkládá peníze pravidelně každý měsíc a 28 % nepravidelně. Skoro každý desátý rodič (9 %) se spořením hodlá začít a pouze 6 % pro své děti nic nespoří a ani to nemá v plánu.</w:t>
      </w:r>
      <w:r w:rsidDel="00000000" w:rsidR="00000000" w:rsidRPr="00000000">
        <w:rPr>
          <w:rtl w:val="0"/>
        </w:rPr>
      </w:r>
    </w:p>
    <w:p w:rsidR="00000000" w:rsidDel="00000000" w:rsidP="00000000" w:rsidRDefault="00000000" w:rsidRPr="00000000" w14:paraId="00000008">
      <w:pPr>
        <w:rPr>
          <w:color w:val="004033"/>
          <w:sz w:val="20"/>
          <w:szCs w:val="20"/>
        </w:rPr>
      </w:pPr>
      <w:r w:rsidDel="00000000" w:rsidR="00000000" w:rsidRPr="00000000">
        <w:rPr>
          <w:rFonts w:ascii="Direct Sans" w:cs="Direct Sans" w:eastAsia="Direct Sans" w:hAnsi="Direct Sans"/>
          <w:color w:val="004033"/>
          <w:sz w:val="20"/>
          <w:szCs w:val="20"/>
          <w:rtl w:val="0"/>
        </w:rPr>
        <w:t xml:space="preserve">„Zajímavé je, že pouze 60 % respondentů uvedlo, že jim samotným jejich rodiče něco odkládali. Podíl zodpovědných rodičů, kteří tedy chtějí svým dětem do dospělého života něco dát, roste,” říká k výsledkům průzkumu CEO Direct Fondee Laureen Höllge.</w:t>
      </w:r>
      <w:r w:rsidDel="00000000" w:rsidR="00000000" w:rsidRPr="00000000">
        <w:rPr>
          <w:rtl w:val="0"/>
        </w:rPr>
      </w:r>
    </w:p>
    <w:p w:rsidR="00000000" w:rsidDel="00000000" w:rsidP="00000000" w:rsidRDefault="00000000" w:rsidRPr="00000000" w14:paraId="00000009">
      <w:pPr>
        <w:rPr>
          <w:color w:val="004033"/>
          <w:sz w:val="20"/>
          <w:szCs w:val="20"/>
        </w:rPr>
      </w:pPr>
      <w:r w:rsidDel="00000000" w:rsidR="00000000" w:rsidRPr="00000000">
        <w:rPr>
          <w:rFonts w:ascii="Direct Sans" w:cs="Direct Sans" w:eastAsia="Direct Sans" w:hAnsi="Direct Sans"/>
          <w:color w:val="004033"/>
          <w:sz w:val="20"/>
          <w:szCs w:val="20"/>
          <w:rtl w:val="0"/>
        </w:rPr>
        <w:t xml:space="preserve">„To se samozřejmě neděje samo od sebe. Jde o důkaz, že si drtivá většina rodičů uvědomuje skutečnost, že jakmile dnešní děti stanou na prahu dospělosti, větší finanční obnos pro ně bude znamenat ohromné plus,“ dodává Höllge.</w:t>
      </w:r>
      <w:r w:rsidDel="00000000" w:rsidR="00000000" w:rsidRPr="00000000">
        <w:rPr>
          <w:rtl w:val="0"/>
        </w:rPr>
      </w:r>
    </w:p>
    <w:p w:rsidR="00000000" w:rsidDel="00000000" w:rsidP="00000000" w:rsidRDefault="00000000" w:rsidRPr="00000000" w14:paraId="0000000A">
      <w:pPr>
        <w:rPr>
          <w:b w:val="1"/>
          <w:bCs w:val="1"/>
          <w:color w:val="004033"/>
          <w:sz w:val="20"/>
          <w:szCs w:val="20"/>
        </w:rPr>
      </w:pPr>
      <w:r w:rsidDel="00000000" w:rsidR="00000000" w:rsidRPr="00000000">
        <w:rPr>
          <w:rFonts w:ascii="Direct Sans" w:cs="Direct Sans" w:eastAsia="Direct Sans" w:hAnsi="Direct Sans"/>
          <w:b w:val="1"/>
          <w:bCs w:val="1"/>
          <w:color w:val="004033"/>
          <w:sz w:val="20"/>
          <w:szCs w:val="20"/>
          <w:rtl w:val="0"/>
        </w:rPr>
        <w:t xml:space="preserve">Pomohou naspořené statisíce dětem s bydlením?</w:t>
      </w:r>
      <w:r w:rsidDel="00000000" w:rsidR="00000000" w:rsidRPr="00000000">
        <w:rPr>
          <w:rtl w:val="0"/>
        </w:rPr>
      </w:r>
    </w:p>
    <w:p w:rsidR="00000000" w:rsidDel="00000000" w:rsidP="00000000" w:rsidRDefault="00000000" w:rsidRPr="00000000" w14:paraId="0000000B">
      <w:pPr>
        <w:rPr>
          <w:color w:val="004033"/>
          <w:sz w:val="20"/>
          <w:szCs w:val="20"/>
        </w:rPr>
      </w:pPr>
      <w:r w:rsidDel="00000000" w:rsidR="00000000" w:rsidRPr="00000000">
        <w:rPr>
          <w:rFonts w:ascii="Direct Sans" w:cs="Direct Sans" w:eastAsia="Direct Sans" w:hAnsi="Direct Sans"/>
          <w:color w:val="004033"/>
          <w:sz w:val="20"/>
          <w:szCs w:val="20"/>
          <w:rtl w:val="0"/>
        </w:rPr>
        <w:t xml:space="preserve">To podle Höllge vystihují i záměry a motivace rodičů, proč dětem spoří. V průzkumu přes 38 % dotázaných uvedlo, že jde o peníze na bydlení. Druhým nejčastějším konkrétním důvodem (22 %) je studium a vzdělání.</w:t>
      </w:r>
      <w:r w:rsidDel="00000000" w:rsidR="00000000" w:rsidRPr="00000000">
        <w:rPr>
          <w:rtl w:val="0"/>
        </w:rPr>
      </w:r>
    </w:p>
    <w:p w:rsidR="00000000" w:rsidDel="00000000" w:rsidP="00000000" w:rsidRDefault="00000000" w:rsidRPr="00000000" w14:paraId="0000000C">
      <w:pPr>
        <w:rPr>
          <w:color w:val="004033"/>
          <w:sz w:val="20"/>
          <w:szCs w:val="20"/>
        </w:rPr>
      </w:pPr>
      <w:r w:rsidDel="00000000" w:rsidR="00000000" w:rsidRPr="00000000">
        <w:rPr>
          <w:rFonts w:ascii="Direct Sans" w:cs="Direct Sans" w:eastAsia="Direct Sans" w:hAnsi="Direct Sans"/>
          <w:color w:val="004033"/>
          <w:sz w:val="20"/>
          <w:szCs w:val="20"/>
          <w:rtl w:val="0"/>
        </w:rPr>
        <w:t xml:space="preserve">Nejčastěji rodiče odkládají v průměru mezi 500-1000 korunami měsíčně (36 %). Necelá pětina (19 %) jich odkládá o něco více do 1500 korun a zhruba čtvrtina (26 %) do 500 korun měsíčně.</w:t>
      </w:r>
      <w:r w:rsidDel="00000000" w:rsidR="00000000" w:rsidRPr="00000000">
        <w:rPr>
          <w:rtl w:val="0"/>
        </w:rPr>
      </w:r>
    </w:p>
    <w:p w:rsidR="00000000" w:rsidDel="00000000" w:rsidP="00000000" w:rsidRDefault="00000000" w:rsidRPr="00000000" w14:paraId="0000000D">
      <w:pPr>
        <w:rPr>
          <w:color w:val="004033"/>
          <w:sz w:val="20"/>
          <w:szCs w:val="20"/>
        </w:rPr>
      </w:pPr>
      <w:r w:rsidDel="00000000" w:rsidR="00000000" w:rsidRPr="00000000">
        <w:rPr>
          <w:rFonts w:ascii="Direct Sans" w:cs="Direct Sans" w:eastAsia="Direct Sans" w:hAnsi="Direct Sans"/>
          <w:color w:val="004033"/>
          <w:sz w:val="20"/>
          <w:szCs w:val="20"/>
          <w:rtl w:val="0"/>
        </w:rPr>
        <w:t xml:space="preserve">Ze způsobů spoření pro děti převažují spořicí účty (29 % rodičů). Následuje stavební spoření (21 %). Investice nejrůznějšího druhu od nemovitostí po zlato či jiná aktiva jako primární způsob střádání pro děti využívá v součtu zhruba třetina respondentů, přičemž žádný z nich není nikterak preferovaný.</w:t>
      </w:r>
      <w:r w:rsidDel="00000000" w:rsidR="00000000" w:rsidRPr="00000000">
        <w:rPr>
          <w:rtl w:val="0"/>
        </w:rPr>
      </w:r>
    </w:p>
    <w:p w:rsidR="00000000" w:rsidDel="00000000" w:rsidP="00000000" w:rsidRDefault="00000000" w:rsidRPr="00000000" w14:paraId="0000000E">
      <w:pPr>
        <w:rPr>
          <w:color w:val="004033"/>
          <w:sz w:val="20"/>
          <w:szCs w:val="20"/>
        </w:rPr>
      </w:pPr>
      <w:r w:rsidDel="00000000" w:rsidR="00000000" w:rsidRPr="00000000">
        <w:rPr>
          <w:rFonts w:ascii="Direct Sans" w:cs="Direct Sans" w:eastAsia="Direct Sans" w:hAnsi="Direct Sans"/>
          <w:color w:val="004033"/>
          <w:sz w:val="20"/>
          <w:szCs w:val="20"/>
          <w:rtl w:val="0"/>
        </w:rPr>
        <w:t xml:space="preserve">Mezi záměrem podpořit děti v otázce bydlení a krocích, které proto rodiče dělají, je tedy podle Höllge patrný rozpor.</w:t>
      </w:r>
      <w:r w:rsidDel="00000000" w:rsidR="00000000" w:rsidRPr="00000000">
        <w:rPr>
          <w:rtl w:val="0"/>
        </w:rPr>
      </w:r>
    </w:p>
    <w:p w:rsidR="00000000" w:rsidDel="00000000" w:rsidP="00000000" w:rsidRDefault="00000000" w:rsidRPr="00000000" w14:paraId="0000000F">
      <w:pPr>
        <w:rPr>
          <w:color w:val="004033"/>
          <w:sz w:val="20"/>
          <w:szCs w:val="20"/>
        </w:rPr>
      </w:pPr>
      <w:r w:rsidDel="00000000" w:rsidR="00000000" w:rsidRPr="00000000">
        <w:rPr>
          <w:rFonts w:ascii="Direct Sans" w:cs="Direct Sans" w:eastAsia="Direct Sans" w:hAnsi="Direct Sans"/>
          <w:color w:val="004033"/>
          <w:sz w:val="20"/>
          <w:szCs w:val="20"/>
          <w:rtl w:val="0"/>
        </w:rPr>
        <w:t xml:space="preserve">„Rodiče dnes velmi zodpovědně myslí na budoucnost svých dětí. Problém ale je, že často volí nástroje, které jsou bezpečné na první pohled, ale při horizontu patnácti nebo osmnácti let už nemusí peníze dostatečně zhodnotit. Pokud má být cílem bydlení nebo dobrý start do života, samotný spořicí účet často nestačí,“ podotýká s tím, že nevýhodou takového způsobu spoření je navíc velmi nízké úročení naspořených peněz, jejichž hodnota se kvůli inflaci během let reálně snižuje.</w:t>
      </w:r>
      <w:r w:rsidDel="00000000" w:rsidR="00000000" w:rsidRPr="00000000">
        <w:rPr>
          <w:rtl w:val="0"/>
        </w:rPr>
      </w:r>
    </w:p>
    <w:p w:rsidR="00000000" w:rsidDel="00000000" w:rsidP="00000000" w:rsidRDefault="00000000" w:rsidRPr="00000000" w14:paraId="00000010">
      <w:pPr>
        <w:rPr>
          <w:b w:val="1"/>
          <w:bCs w:val="1"/>
          <w:color w:val="004033"/>
          <w:sz w:val="20"/>
          <w:szCs w:val="20"/>
        </w:rPr>
      </w:pPr>
      <w:r w:rsidDel="00000000" w:rsidR="00000000" w:rsidRPr="00000000">
        <w:rPr>
          <w:rFonts w:ascii="Direct Sans" w:cs="Direct Sans" w:eastAsia="Direct Sans" w:hAnsi="Direct Sans"/>
          <w:b w:val="1"/>
          <w:bCs w:val="1"/>
          <w:color w:val="004033"/>
          <w:sz w:val="20"/>
          <w:szCs w:val="20"/>
          <w:rtl w:val="0"/>
        </w:rPr>
        <w:t xml:space="preserve">Rodiče přesouvají spoření pro děti do investic</w:t>
      </w:r>
      <w:r w:rsidDel="00000000" w:rsidR="00000000" w:rsidRPr="00000000">
        <w:rPr>
          <w:rtl w:val="0"/>
        </w:rPr>
      </w:r>
    </w:p>
    <w:p w:rsidR="00000000" w:rsidDel="00000000" w:rsidP="00000000" w:rsidRDefault="00000000" w:rsidRPr="00000000" w14:paraId="00000011">
      <w:pPr>
        <w:rPr>
          <w:color w:val="004033"/>
          <w:sz w:val="20"/>
          <w:szCs w:val="20"/>
        </w:rPr>
      </w:pPr>
      <w:r w:rsidDel="00000000" w:rsidR="00000000" w:rsidRPr="00000000">
        <w:rPr>
          <w:rFonts w:ascii="Direct Sans" w:cs="Direct Sans" w:eastAsia="Direct Sans" w:hAnsi="Direct Sans"/>
          <w:color w:val="004033"/>
          <w:sz w:val="20"/>
          <w:szCs w:val="20"/>
          <w:rtl w:val="0"/>
        </w:rPr>
        <w:t xml:space="preserve">Relativně dlouhá doba, kterou se spoření pro děti typicky vyznačuje, přitom podle odbornice nahrává spíše investování než tradičním formám spoření.</w:t>
      </w:r>
      <w:r w:rsidDel="00000000" w:rsidR="00000000" w:rsidRPr="00000000">
        <w:rPr>
          <w:rtl w:val="0"/>
        </w:rPr>
      </w:r>
    </w:p>
    <w:p w:rsidR="00000000" w:rsidDel="00000000" w:rsidP="00000000" w:rsidRDefault="00000000" w:rsidRPr="00000000" w14:paraId="00000012">
      <w:pPr>
        <w:rPr>
          <w:color w:val="004033"/>
          <w:sz w:val="20"/>
          <w:szCs w:val="20"/>
        </w:rPr>
      </w:pPr>
      <w:r w:rsidDel="00000000" w:rsidR="00000000" w:rsidRPr="00000000">
        <w:rPr>
          <w:rFonts w:ascii="Direct Sans" w:cs="Direct Sans" w:eastAsia="Direct Sans" w:hAnsi="Direct Sans"/>
          <w:color w:val="004033"/>
          <w:sz w:val="20"/>
          <w:szCs w:val="20"/>
          <w:rtl w:val="0"/>
        </w:rPr>
        <w:t xml:space="preserve">„Při dlouhém investičním horizontu pravidelné investování výrazně pozitivně ovlivňuje výslednou částku. Například modelová investice 1 500 Kč měsíčně po dobu 18 let by v diverzifikovaném akciovém ETF fondu při průměrném ročním zhodnocení 8 % dosáhla zhruba 730 tisíc korun. Tedy klidně i dvojnásobek toho, co bych měla za stejnou dobu na spořicím účtu či stavebku,” odhaduje Höllge.</w:t>
      </w:r>
      <w:r w:rsidDel="00000000" w:rsidR="00000000" w:rsidRPr="00000000">
        <w:rPr>
          <w:rtl w:val="0"/>
        </w:rPr>
      </w:r>
    </w:p>
    <w:p w:rsidR="00000000" w:rsidDel="00000000" w:rsidP="00000000" w:rsidRDefault="00000000" w:rsidRPr="00000000" w14:paraId="00000013">
      <w:pPr>
        <w:rPr>
          <w:color w:val="004033"/>
          <w:sz w:val="20"/>
          <w:szCs w:val="20"/>
        </w:rPr>
      </w:pPr>
      <w:r w:rsidDel="00000000" w:rsidR="00000000" w:rsidRPr="00000000">
        <w:rPr>
          <w:rFonts w:ascii="Direct Sans" w:cs="Direct Sans" w:eastAsia="Direct Sans" w:hAnsi="Direct Sans"/>
          <w:color w:val="004033"/>
          <w:sz w:val="20"/>
          <w:szCs w:val="20"/>
          <w:rtl w:val="0"/>
        </w:rPr>
        <w:t xml:space="preserve">I když cestou podílových a ETF fondů pro děti střádá dle průzkumu jen zhruba 15 % rodičů, podle Höllge je přesun od spořicích produktů směrem k investicím zřejmý.</w:t>
      </w:r>
      <w:r w:rsidDel="00000000" w:rsidR="00000000" w:rsidRPr="00000000">
        <w:rPr>
          <w:rtl w:val="0"/>
        </w:rPr>
      </w:r>
    </w:p>
    <w:p w:rsidR="00000000" w:rsidDel="00000000" w:rsidP="00000000" w:rsidRDefault="00000000" w:rsidRPr="00000000" w14:paraId="00000014">
      <w:pPr>
        <w:rPr>
          <w:b w:val="1"/>
          <w:bCs w:val="1"/>
          <w:color w:val="004033"/>
          <w:sz w:val="20"/>
          <w:szCs w:val="20"/>
        </w:rPr>
      </w:pPr>
      <w:r w:rsidDel="00000000" w:rsidR="00000000" w:rsidRPr="00000000">
        <w:rPr>
          <w:rFonts w:ascii="Direct Sans" w:cs="Direct Sans" w:eastAsia="Direct Sans" w:hAnsi="Direct Sans"/>
          <w:b w:val="1"/>
          <w:bCs w:val="1"/>
          <w:color w:val="004033"/>
          <w:sz w:val="20"/>
          <w:szCs w:val="20"/>
          <w:rtl w:val="0"/>
        </w:rPr>
        <w:t xml:space="preserve">Tradice stavebních spoření pro děti končí</w:t>
      </w:r>
      <w:r w:rsidDel="00000000" w:rsidR="00000000" w:rsidRPr="00000000">
        <w:rPr>
          <w:rtl w:val="0"/>
        </w:rPr>
      </w:r>
    </w:p>
    <w:p w:rsidR="00000000" w:rsidDel="00000000" w:rsidP="00000000" w:rsidRDefault="00000000" w:rsidRPr="00000000" w14:paraId="00000015">
      <w:pPr>
        <w:rPr>
          <w:color w:val="004033"/>
          <w:sz w:val="20"/>
          <w:szCs w:val="20"/>
        </w:rPr>
      </w:pPr>
      <w:r w:rsidDel="00000000" w:rsidR="00000000" w:rsidRPr="00000000">
        <w:rPr>
          <w:rFonts w:ascii="Direct Sans" w:cs="Direct Sans" w:eastAsia="Direct Sans" w:hAnsi="Direct Sans"/>
          <w:color w:val="004033"/>
          <w:sz w:val="20"/>
          <w:szCs w:val="20"/>
          <w:rtl w:val="0"/>
        </w:rPr>
        <w:t xml:space="preserve">Očividné je to podle ní například na popularitě stavebního spoření. V posledních letech stavební spořitelny uzavírají nejméně nových smluv za posledních zhruba dvacet let a číslo každým rokem klesá. Jedním z důvodů je podle Höllge také nižší atraktivita stavebka jako spoření pro děti.</w:t>
      </w:r>
      <w:r w:rsidDel="00000000" w:rsidR="00000000" w:rsidRPr="00000000">
        <w:rPr>
          <w:rtl w:val="0"/>
        </w:rPr>
      </w:r>
    </w:p>
    <w:p w:rsidR="00000000" w:rsidDel="00000000" w:rsidP="00000000" w:rsidRDefault="00000000" w:rsidRPr="00000000" w14:paraId="00000016">
      <w:pPr>
        <w:rPr>
          <w:color w:val="004033"/>
          <w:sz w:val="20"/>
          <w:szCs w:val="20"/>
        </w:rPr>
      </w:pPr>
      <w:r w:rsidDel="00000000" w:rsidR="00000000" w:rsidRPr="00000000">
        <w:rPr>
          <w:rFonts w:ascii="Direct Sans" w:cs="Direct Sans" w:eastAsia="Direct Sans" w:hAnsi="Direct Sans"/>
          <w:color w:val="004033"/>
          <w:sz w:val="20"/>
          <w:szCs w:val="20"/>
          <w:rtl w:val="0"/>
        </w:rPr>
        <w:t xml:space="preserve">„Mezi našimi majiteli dětských investičních účtů jsme zjišťovali, zda měli od rodiny stavební spoření a byl to případ asi dvou třetin z nich. To samé ale pro své děti teď dělá jen zlomek z nich. Od té tradice stavebka pro děti zkrátka dnešní rodiče upouštějí ve prospěch investic,” myslí si Höllge.</w:t>
      </w:r>
      <w:r w:rsidDel="00000000" w:rsidR="00000000" w:rsidRPr="00000000">
        <w:rPr>
          <w:rtl w:val="0"/>
        </w:rPr>
      </w:r>
    </w:p>
    <w:p w:rsidR="00000000" w:rsidDel="00000000" w:rsidP="00000000" w:rsidRDefault="00000000" w:rsidRPr="00000000" w14:paraId="00000017">
      <w:pPr>
        <w:rPr>
          <w:rFonts w:ascii="Direct Sans" w:cs="Direct Sans" w:eastAsia="Direct Sans" w:hAnsi="Direct Sans"/>
          <w:color w:val="004033"/>
          <w:sz w:val="20"/>
          <w:szCs w:val="20"/>
        </w:rPr>
      </w:pPr>
      <w:r w:rsidDel="00000000" w:rsidR="00000000" w:rsidRPr="00000000">
        <w:rPr>
          <w:rFonts w:ascii="Direct Sans" w:cs="Direct Sans" w:eastAsia="Direct Sans" w:hAnsi="Direct Sans"/>
          <w:color w:val="004033"/>
          <w:sz w:val="20"/>
          <w:szCs w:val="20"/>
          <w:rtl w:val="0"/>
        </w:rPr>
        <w:t xml:space="preserve">„Přitom ani v případě investic pro děti, které trvají dlouhá léta, není třeba volit konzervativní fondy a portfolia. V případě majitelů investičních účtů pro děti u nás na platformě vidíme, že si to většina uvědomuje a volí odvážnější dynamická portfolia s lepším potenciálním výnosem,” dodává.</w:t>
      </w:r>
    </w:p>
    <w:p w:rsidR="00000000" w:rsidDel="00000000" w:rsidP="00000000" w:rsidRDefault="00000000" w:rsidRPr="00000000" w14:paraId="00000018">
      <w:pPr>
        <w:spacing w:after="0" w:line="240" w:lineRule="auto"/>
        <w:jc w:val="right"/>
        <w:rPr>
          <w:rFonts w:ascii="Direct Sans" w:cs="Direct Sans" w:eastAsia="Direct Sans" w:hAnsi="Direct Sans"/>
          <w:color w:val="004033"/>
          <w:sz w:val="20"/>
          <w:szCs w:val="20"/>
        </w:rPr>
      </w:pPr>
      <w:r w:rsidDel="00000000" w:rsidR="00000000" w:rsidRPr="00000000">
        <w:rPr>
          <w:rFonts w:ascii="Direct Sans" w:cs="Direct Sans" w:eastAsia="Direct Sans" w:hAnsi="Direct Sans"/>
          <w:color w:val="004033"/>
          <w:sz w:val="20"/>
          <w:szCs w:val="20"/>
          <w:rtl w:val="0"/>
        </w:rPr>
        <w:br w:type="textWrapping"/>
        <w:t xml:space="preserve">Kontaktní osoba </w:t>
        <w:br w:type="textWrapping"/>
        <w:t xml:space="preserve">Kateřina Márová</w:t>
        <w:br w:type="textWrapping"/>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417" w:top="1417" w:left="1417" w:right="1417" w:header="708" w:footer="28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embedRegular w:fontKey="{00000000-0000-0000-0000-000000000000}" r:id="rId1" w:subsetted="0"/>
    <w:embedBold w:fontKey="{00000000-0000-0000-0000-000000000000}" r:id="rId2" w:subsetted="0"/>
  </w:font>
  <w:font w:name="Direct Sans Medium"/>
  <w:font w:name="Direct Sans Semibold"/>
  <w:font w:name="Direct San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rPr/>
    </w:pPr>
    <w:r w:rsidDel="00000000" w:rsidR="00000000" w:rsidRPr="00000000">
      <w:rPr>
        <w:rtl w:val="0"/>
      </w:rPr>
    </w:r>
  </w:p>
  <w:tbl>
    <w:tblPr>
      <w:tblStyle w:val="Table1"/>
      <w:tblpPr w:leftFromText="141" w:rightFromText="141" w:topFromText="0" w:bottomFromText="0" w:vertAnchor="text" w:horzAnchor="text" w:tblpX="-84" w:tblpY="1"/>
      <w:tblW w:w="9496.0" w:type="dxa"/>
      <w:jc w:val="left"/>
      <w:tblLayout w:type="fixed"/>
      <w:tblLook w:val="0600"/>
    </w:tblPr>
    <w:tblGrid>
      <w:gridCol w:w="4111"/>
      <w:gridCol w:w="3260"/>
      <w:gridCol w:w="2125"/>
      <w:tblGridChange w:id="0">
        <w:tblGrid>
          <w:gridCol w:w="4111"/>
          <w:gridCol w:w="3260"/>
          <w:gridCol w:w="2125"/>
        </w:tblGrid>
      </w:tblGridChange>
    </w:tblGrid>
    <w:tr>
      <w:trPr>
        <w:cantSplit w:val="0"/>
        <w:trHeight w:val="568" w:hRule="atLeast"/>
        <w:tblHeader w:val="0"/>
      </w:trPr>
      <w:tc>
        <w:tcPr>
          <w:vAlign w:val="center"/>
        </w:tcPr>
        <w:p w:rsidR="00000000" w:rsidDel="00000000" w:rsidP="00000000" w:rsidRDefault="00000000" w:rsidRPr="00000000" w14:paraId="0000001D">
          <w:pPr>
            <w:ind w:left="113" w:firstLine="0"/>
            <w:rPr>
              <w:rFonts w:ascii="Direct Sans" w:cs="Direct Sans" w:eastAsia="Direct Sans" w:hAnsi="Direct Sans"/>
              <w:color w:val="001c16"/>
              <w:sz w:val="14"/>
              <w:szCs w:val="14"/>
            </w:rPr>
          </w:pPr>
          <w:r w:rsidDel="00000000" w:rsidR="00000000" w:rsidRPr="00000000">
            <w:rPr>
              <w:rFonts w:ascii="Direct Sans" w:cs="Direct Sans" w:eastAsia="Direct Sans" w:hAnsi="Direct Sans"/>
              <w:color w:val="001c16"/>
              <w:sz w:val="14"/>
              <w:szCs w:val="14"/>
              <w:rtl w:val="0"/>
            </w:rPr>
            <w:t xml:space="preserve">Direct Fondee a.s.</w:t>
          </w:r>
        </w:p>
        <w:p w:rsidR="00000000" w:rsidDel="00000000" w:rsidP="00000000" w:rsidRDefault="00000000" w:rsidRPr="00000000" w14:paraId="0000001E">
          <w:pPr>
            <w:ind w:left="113" w:firstLine="0"/>
            <w:rPr>
              <w:rFonts w:ascii="Direct Sans" w:cs="Direct Sans" w:eastAsia="Direct Sans" w:hAnsi="Direct Sans"/>
              <w:color w:val="004033"/>
              <w:sz w:val="20"/>
              <w:szCs w:val="20"/>
            </w:rPr>
          </w:pPr>
          <w:r w:rsidDel="00000000" w:rsidR="00000000" w:rsidRPr="00000000">
            <w:rPr>
              <w:rFonts w:ascii="Direct Sans" w:cs="Direct Sans" w:eastAsia="Direct Sans" w:hAnsi="Direct Sans"/>
              <w:color w:val="001c16"/>
              <w:sz w:val="14"/>
              <w:szCs w:val="14"/>
              <w:rtl w:val="0"/>
            </w:rPr>
            <w:t xml:space="preserve">Pod dráhou 1636/1 170 00 Praha 7 – Holešovice</w:t>
          </w:r>
          <w:r w:rsidDel="00000000" w:rsidR="00000000" w:rsidRPr="00000000">
            <w:rPr>
              <w:rtl w:val="0"/>
            </w:rPr>
          </w:r>
        </w:p>
      </w:tc>
      <w:tc>
        <w:tcPr>
          <w:vAlign w:val="center"/>
        </w:tcPr>
        <w:p w:rsidR="00000000" w:rsidDel="00000000" w:rsidP="00000000" w:rsidRDefault="00000000" w:rsidRPr="00000000" w14:paraId="0000001F">
          <w:pPr>
            <w:ind w:left="113" w:firstLine="0"/>
            <w:rPr>
              <w:color w:val="001b15"/>
            </w:rPr>
          </w:pPr>
          <w:hyperlink r:id="rId1">
            <w:r w:rsidDel="00000000" w:rsidR="00000000" w:rsidRPr="00000000">
              <w:rPr>
                <w:rFonts w:ascii="Direct Sans" w:cs="Direct Sans" w:eastAsia="Direct Sans" w:hAnsi="Direct Sans"/>
                <w:color w:val="001b15"/>
                <w:sz w:val="14"/>
                <w:szCs w:val="14"/>
                <w:u w:val="none"/>
                <w:rtl w:val="0"/>
              </w:rPr>
              <w:t xml:space="preserve">info@fondee.cz</w:t>
            </w:r>
          </w:hyperlink>
          <w:r w:rsidDel="00000000" w:rsidR="00000000" w:rsidRPr="00000000">
            <w:rPr>
              <w:rtl w:val="0"/>
            </w:rPr>
          </w:r>
        </w:p>
        <w:p w:rsidR="00000000" w:rsidDel="00000000" w:rsidP="00000000" w:rsidRDefault="00000000" w:rsidRPr="00000000" w14:paraId="00000020">
          <w:pPr>
            <w:ind w:left="113" w:firstLine="0"/>
            <w:rPr>
              <w:rFonts w:ascii="Direct Sans" w:cs="Direct Sans" w:eastAsia="Direct Sans" w:hAnsi="Direct Sans"/>
              <w:color w:val="001b15"/>
              <w:sz w:val="20"/>
              <w:szCs w:val="20"/>
            </w:rPr>
          </w:pPr>
          <w:r w:rsidDel="00000000" w:rsidR="00000000" w:rsidRPr="00000000">
            <w:rPr>
              <w:rFonts w:ascii="Direct Sans" w:cs="Direct Sans" w:eastAsia="Direct Sans" w:hAnsi="Direct Sans"/>
              <w:color w:val="001b15"/>
              <w:sz w:val="14"/>
              <w:szCs w:val="14"/>
              <w:rtl w:val="0"/>
            </w:rPr>
            <w:t xml:space="preserve">www.fondee.cz</w:t>
            <w:tab/>
          </w:r>
          <w:r w:rsidDel="00000000" w:rsidR="00000000" w:rsidRPr="00000000">
            <w:rPr>
              <w:rtl w:val="0"/>
            </w:rPr>
          </w:r>
        </w:p>
      </w:tc>
      <w:tc>
        <w:tcPr>
          <w:vAlign w:val="center"/>
        </w:tcPr>
        <w:p w:rsidR="00000000" w:rsidDel="00000000" w:rsidP="00000000" w:rsidRDefault="00000000" w:rsidRPr="00000000" w14:paraId="00000021">
          <w:pPr>
            <w:ind w:left="113" w:firstLine="0"/>
            <w:rPr>
              <w:rFonts w:ascii="Direct Sans" w:cs="Direct Sans" w:eastAsia="Direct Sans" w:hAnsi="Direct Sans"/>
              <w:color w:val="001c16"/>
              <w:sz w:val="14"/>
              <w:szCs w:val="14"/>
            </w:rPr>
          </w:pPr>
          <w:r w:rsidDel="00000000" w:rsidR="00000000" w:rsidRPr="00000000">
            <w:rPr>
              <w:rFonts w:ascii="Direct Sans" w:cs="Direct Sans" w:eastAsia="Direct Sans" w:hAnsi="Direct Sans"/>
              <w:color w:val="001c16"/>
              <w:sz w:val="14"/>
              <w:szCs w:val="14"/>
              <w:rtl w:val="0"/>
            </w:rPr>
            <w:t xml:space="preserve">IČO: 06691862</w:t>
          </w:r>
        </w:p>
        <w:p w:rsidR="00000000" w:rsidDel="00000000" w:rsidP="00000000" w:rsidRDefault="00000000" w:rsidRPr="00000000" w14:paraId="00000022">
          <w:pPr>
            <w:ind w:left="113" w:firstLine="0"/>
            <w:rPr>
              <w:rFonts w:ascii="Direct Sans" w:cs="Direct Sans" w:eastAsia="Direct Sans" w:hAnsi="Direct Sans"/>
              <w:color w:val="004033"/>
              <w:sz w:val="20"/>
              <w:szCs w:val="20"/>
            </w:rPr>
          </w:pPr>
          <w:r w:rsidDel="00000000" w:rsidR="00000000" w:rsidRPr="00000000">
            <w:rPr>
              <w:rFonts w:ascii="Direct Sans" w:cs="Direct Sans" w:eastAsia="Direct Sans" w:hAnsi="Direct Sans"/>
              <w:color w:val="001c16"/>
              <w:sz w:val="14"/>
              <w:szCs w:val="14"/>
              <w:rtl w:val="0"/>
            </w:rPr>
            <w:t xml:space="preserve">DIČ: CZ06691862</w:t>
          </w:r>
          <w:r w:rsidDel="00000000" w:rsidR="00000000" w:rsidRPr="00000000">
            <w:rPr>
              <w:rtl w:val="0"/>
            </w:rPr>
          </w:r>
        </w:p>
      </w:tc>
    </w:tr>
  </w:tbl>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tabs>
        <w:tab w:val="left" w:leader="none" w:pos="850"/>
        <w:tab w:val="right" w:leader="none" w:pos="9072"/>
      </w:tabs>
      <w:spacing w:before="820" w:line="240" w:lineRule="auto"/>
      <w:rPr>
        <w:rFonts w:ascii="Direct Sans Semibold" w:cs="Direct Sans Semibold" w:eastAsia="Direct Sans Semibold" w:hAnsi="Direct Sans Semibold"/>
        <w:b w:val="1"/>
        <w:bCs w:val="1"/>
        <w:color w:val="004033"/>
        <w:sz w:val="48"/>
        <w:szCs w:val="48"/>
      </w:rPr>
    </w:pPr>
    <w:r w:rsidDel="00000000" w:rsidR="00000000" w:rsidRPr="00000000">
      <w:rPr>
        <w:rFonts w:ascii="Direct Sans Semibold" w:cs="Direct Sans Semibold" w:eastAsia="Direct Sans Semibold" w:hAnsi="Direct Sans Semibold"/>
        <w:b w:val="1"/>
        <w:bCs w:val="1"/>
        <w:color w:val="004033"/>
        <w:sz w:val="48"/>
        <w:szCs w:val="48"/>
        <w:rtl w:val="0"/>
      </w:rPr>
      <w:tab/>
      <w:tab/>
      <w:t xml:space="preserve"> </w:t>
    </w:r>
    <w:r w:rsidDel="00000000" w:rsidR="00000000" w:rsidRPr="00000000">
      <w:rPr>
        <w:rFonts w:ascii="Direct Sans" w:cs="Direct Sans" w:eastAsia="Direct Sans" w:hAnsi="Direct Sans"/>
        <w:i w:val="1"/>
        <w:iCs w:val="1"/>
        <w:color w:val="004033"/>
        <w:sz w:val="22"/>
        <w:szCs w:val="22"/>
        <w:rtl w:val="0"/>
      </w:rPr>
      <w:t xml:space="preserve">Tisková zpráva</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-264793</wp:posOffset>
          </wp:positionH>
          <wp:positionV relativeFrom="paragraph">
            <wp:posOffset>63051</wp:posOffset>
          </wp:positionV>
          <wp:extent cx="1274933" cy="662563"/>
          <wp:effectExtent b="0" l="0" r="0" t="0"/>
          <wp:wrapNone/>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274933" cy="662563"/>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Pr>
      <mc:AlternateContent>
        <mc:Choice Requires="wpg">
          <w:drawing>
            <wp:anchor allowOverlap="1" behindDoc="0" distB="0" distT="0" distL="0" distR="0" hidden="0" layoutInCell="1" locked="0" relativeHeight="0" simplePos="0">
              <wp:simplePos x="0" y="0"/>
              <wp:positionH relativeFrom="page">
                <wp:align>right</wp:align>
              </wp:positionH>
              <wp:positionV relativeFrom="page">
                <wp:align>top</wp:align>
              </wp:positionV>
              <wp:extent cx="615315" cy="389255"/>
              <wp:effectExtent b="0" l="0" r="0" t="0"/>
              <wp:wrapNone/>
              <wp:docPr descr="Interní" id="2" name=""/>
              <a:graphic>
                <a:graphicData uri="http://schemas.microsoft.com/office/word/2010/wordprocessingShape">
                  <wps:wsp>
                    <wps:cNvSpPr/>
                    <wps:cNvPr id="3" name="Shape 3"/>
                    <wps:spPr>
                      <a:xfrm>
                        <a:off x="5047868" y="3594898"/>
                        <a:ext cx="596265" cy="370205"/>
                      </a:xfrm>
                      <a:prstGeom prst="rect">
                        <a:avLst/>
                      </a:prstGeom>
                      <a:noFill/>
                      <a:ln>
                        <a:noFill/>
                      </a:ln>
                    </wps:spPr>
                    <wps:txbx>
                      <w:txbxContent>
                        <w:p w:rsidR="00000000" w:rsidDel="00000000" w:rsidP="00000000" w:rsidRDefault="00000000" w:rsidRPr="00000000">
                          <w:pPr>
                            <w:spacing w:after="0" w:before="0" w:line="277.99999237060547"/>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t xml:space="preserve">Interní</w:t>
                          </w:r>
                        </w:p>
                      </w:txbxContent>
                    </wps:txbx>
                    <wps:bodyPr anchorCtr="0" anchor="t" bIns="0" lIns="0" spcFirstLastPara="1" rIns="254000" wrap="square" tIns="190500">
                      <a:noAutofit/>
                    </wps:bodyPr>
                  </wps:wsp>
                </a:graphicData>
              </a:graphic>
            </wp:anchor>
          </w:drawing>
        </mc:Choice>
        <mc:Fallback>
          <w:drawing>
            <wp:anchor allowOverlap="1" behindDoc="0" distB="0" distT="0" distL="0" distR="0" hidden="0" layoutInCell="1" locked="0" relativeHeight="0" simplePos="0">
              <wp:simplePos x="0" y="0"/>
              <wp:positionH relativeFrom="page">
                <wp:align>right</wp:align>
              </wp:positionH>
              <wp:positionV relativeFrom="page">
                <wp:align>top</wp:align>
              </wp:positionV>
              <wp:extent cx="615315" cy="389255"/>
              <wp:effectExtent b="0" l="0" r="0" t="0"/>
              <wp:wrapNone/>
              <wp:docPr descr="Interní" id="2" name="image3.png"/>
              <a:graphic>
                <a:graphicData uri="http://schemas.openxmlformats.org/drawingml/2006/picture">
                  <pic:pic>
                    <pic:nvPicPr>
                      <pic:cNvPr descr="Interní" id="0" name="image3.png"/>
                      <pic:cNvPicPr preferRelativeResize="0"/>
                    </pic:nvPicPr>
                    <pic:blipFill>
                      <a:blip r:embed="rId1"/>
                      <a:srcRect/>
                      <a:stretch>
                        <a:fillRect/>
                      </a:stretch>
                    </pic:blipFill>
                    <pic:spPr>
                      <a:xfrm>
                        <a:off x="0" y="0"/>
                        <a:ext cx="615315" cy="389255"/>
                      </a:xfrm>
                      <a:prstGeom prst="rect"/>
                      <a:ln/>
                    </pic:spPr>
                  </pic:pic>
                </a:graphicData>
              </a:graphic>
            </wp:anchor>
          </w:drawing>
        </mc:Fallback>
      </mc:AlternateConten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Pr>
      <mc:AlternateContent>
        <mc:Choice Requires="wpg">
          <w:drawing>
            <wp:anchor allowOverlap="1" behindDoc="0" distB="0" distT="0" distL="0" distR="0" hidden="0" layoutInCell="1" locked="0" relativeHeight="0" simplePos="0">
              <wp:simplePos x="0" y="0"/>
              <wp:positionH relativeFrom="page">
                <wp:align>right</wp:align>
              </wp:positionH>
              <wp:positionV relativeFrom="page">
                <wp:align>top</wp:align>
              </wp:positionV>
              <wp:extent cx="615315" cy="389255"/>
              <wp:effectExtent b="0" l="0" r="0" t="0"/>
              <wp:wrapNone/>
              <wp:docPr descr="Interní" id="1" name=""/>
              <a:graphic>
                <a:graphicData uri="http://schemas.microsoft.com/office/word/2010/wordprocessingShape">
                  <wps:wsp>
                    <wps:cNvSpPr/>
                    <wps:cNvPr id="2" name="Shape 2"/>
                    <wps:spPr>
                      <a:xfrm>
                        <a:off x="5047868" y="3594898"/>
                        <a:ext cx="596265" cy="370205"/>
                      </a:xfrm>
                      <a:prstGeom prst="rect">
                        <a:avLst/>
                      </a:prstGeom>
                      <a:noFill/>
                      <a:ln>
                        <a:noFill/>
                      </a:ln>
                    </wps:spPr>
                    <wps:txbx>
                      <w:txbxContent>
                        <w:p w:rsidR="00000000" w:rsidDel="00000000" w:rsidP="00000000" w:rsidRDefault="00000000" w:rsidRPr="00000000">
                          <w:pPr>
                            <w:spacing w:after="0" w:before="0" w:line="277.99999237060547"/>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t xml:space="preserve">Interní</w:t>
                          </w:r>
                        </w:p>
                      </w:txbxContent>
                    </wps:txbx>
                    <wps:bodyPr anchorCtr="0" anchor="t" bIns="0" lIns="0" spcFirstLastPara="1" rIns="254000" wrap="square" tIns="190500">
                      <a:noAutofit/>
                    </wps:bodyPr>
                  </wps:wsp>
                </a:graphicData>
              </a:graphic>
            </wp:anchor>
          </w:drawing>
        </mc:Choice>
        <mc:Fallback>
          <w:drawing>
            <wp:anchor allowOverlap="1" behindDoc="0" distB="0" distT="0" distL="0" distR="0" hidden="0" layoutInCell="1" locked="0" relativeHeight="0" simplePos="0">
              <wp:simplePos x="0" y="0"/>
              <wp:positionH relativeFrom="page">
                <wp:align>right</wp:align>
              </wp:positionH>
              <wp:positionV relativeFrom="page">
                <wp:align>top</wp:align>
              </wp:positionV>
              <wp:extent cx="615315" cy="389255"/>
              <wp:effectExtent b="0" l="0" r="0" t="0"/>
              <wp:wrapNone/>
              <wp:docPr descr="Interní" id="1" name="image2.png"/>
              <a:graphic>
                <a:graphicData uri="http://schemas.openxmlformats.org/drawingml/2006/picture">
                  <pic:pic>
                    <pic:nvPicPr>
                      <pic:cNvPr descr="Interní" id="0" name="image2.png"/>
                      <pic:cNvPicPr preferRelativeResize="0"/>
                    </pic:nvPicPr>
                    <pic:blipFill>
                      <a:blip r:embed="rId1"/>
                      <a:srcRect/>
                      <a:stretch>
                        <a:fillRect/>
                      </a:stretch>
                    </pic:blipFill>
                    <pic:spPr>
                      <a:xfrm>
                        <a:off x="0" y="0"/>
                        <a:ext cx="615315" cy="389255"/>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cs"/>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0.0" w:type="dxa"/>
        <w:bottom w:w="0.0" w:type="dxa"/>
        <w:right w:w="0.0" w:type="dxa"/>
      </w:tblCellMar>
    </w:tblPr>
    <w:tblStylePr w:type="band1Horz">
      <w:tcPr>
        <w:shd w:fill="f2f2f2" w:val="clear"/>
      </w:tcPr>
    </w:tblStylePr>
    <w:tblStylePr w:type="band1Vert">
      <w:tcPr>
        <w:shd w:fill="f2f2f2" w:val="clear"/>
      </w:tcPr>
    </w:tblStylePr>
    <w:tblStylePr w:type="firstCol">
      <w:rPr>
        <w:b w:val="1"/>
        <w:bCs w:val="1"/>
        <w:smallCaps w:val="1"/>
      </w:rPr>
      <w:tcPr>
        <w:tcBorders>
          <w:right w:color="7f7f7f" w:space="0" w:sz="4" w:val="single"/>
        </w:tcBorders>
      </w:tcPr>
    </w:tblStylePr>
    <w:tblStylePr w:type="firstRow">
      <w:rPr>
        <w:b w:val="1"/>
        <w:bCs w:val="1"/>
        <w:smallCaps w:val="1"/>
      </w:rPr>
      <w:tcPr>
        <w:tcBorders>
          <w:bottom w:color="7f7f7f" w:space="0" w:sz="4" w:val="single"/>
        </w:tcBorders>
      </w:tcPr>
    </w:tblStylePr>
    <w:tblStylePr w:type="lastCol">
      <w:rPr>
        <w:b w:val="1"/>
        <w:bCs w:val="1"/>
        <w:smallCaps w:val="1"/>
      </w:rPr>
      <w:tcPr>
        <w:tcBorders>
          <w:left w:color="000000" w:space="0" w:sz="0" w:val="nil"/>
        </w:tcBorders>
      </w:tcPr>
    </w:tblStylePr>
    <w:tblStylePr w:type="lastRow">
      <w:rPr>
        <w:b w:val="1"/>
        <w:bCs w:val="1"/>
        <w:smallCaps w:val="1"/>
      </w:rPr>
      <w:tcPr>
        <w:tcBorders>
          <w:top w:color="000000" w:space="0" w:sz="0" w:val="nil"/>
        </w:tcBorders>
      </w:tcPr>
    </w:tblStylePr>
    <w:tblStylePr w:type="neCell">
      <w:tcPr>
        <w:tcBorders>
          <w:left w:color="000000" w:space="0" w:sz="0" w:val="nil"/>
        </w:tcBorders>
      </w:tcPr>
    </w:tblStylePr>
    <w:tblStylePr w:type="nwCell">
      <w:tcPr>
        <w:tcBorders>
          <w:right w:color="000000" w:space="0" w:sz="0" w:val="nil"/>
        </w:tcBorders>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footer" Target="footer3.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footer1.xml.rels><?xml version="1.0" encoding="UTF-8" standalone="yes"?><Relationships xmlns="http://schemas.openxmlformats.org/package/2006/relationships"><Relationship Id="rId1" Type="http://schemas.openxmlformats.org/officeDocument/2006/relationships/hyperlink" Target="mailto:info@fondee.cz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b0LFqOpOll91NwhvL1JdefB7HA==">CgMxLjA4AHIhMURjTVhRSGJMclFPVVQtQUFhYjZYQjVxZGFSQlBkd3ZM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7cbb9861,3589f1d5,773d80be</vt:lpwstr>
  </property>
  <property fmtid="{D5CDD505-2E9C-101B-9397-08002B2CF9AE}" pid="3" name="ClassificationContentMarkingHeaderFontProps">
    <vt:lpwstr>#000000,10,Calibri</vt:lpwstr>
  </property>
  <property fmtid="{D5CDD505-2E9C-101B-9397-08002B2CF9AE}" pid="4" name="ClassificationContentMarkingHeaderText">
    <vt:lpwstr>Interní</vt:lpwstr>
  </property>
  <property fmtid="{D5CDD505-2E9C-101B-9397-08002B2CF9AE}" pid="5" name="MSIP_Label_2f90dfaf-3227-49c1-ac9e-e3a490b2dbb5_Enabled">
    <vt:lpwstr>true</vt:lpwstr>
  </property>
  <property fmtid="{D5CDD505-2E9C-101B-9397-08002B2CF9AE}" pid="6" name="MSIP_Label_2f90dfaf-3227-49c1-ac9e-e3a490b2dbb5_SetDate">
    <vt:lpwstr>2025-02-20T12:50:01Z</vt:lpwstr>
  </property>
  <property fmtid="{D5CDD505-2E9C-101B-9397-08002B2CF9AE}" pid="7" name="MSIP_Label_2f90dfaf-3227-49c1-ac9e-e3a490b2dbb5_Method">
    <vt:lpwstr>Standard</vt:lpwstr>
  </property>
  <property fmtid="{D5CDD505-2E9C-101B-9397-08002B2CF9AE}" pid="8" name="MSIP_Label_2f90dfaf-3227-49c1-ac9e-e3a490b2dbb5_Name">
    <vt:lpwstr>Interní</vt:lpwstr>
  </property>
  <property fmtid="{D5CDD505-2E9C-101B-9397-08002B2CF9AE}" pid="9" name="MSIP_Label_2f90dfaf-3227-49c1-ac9e-e3a490b2dbb5_SiteId">
    <vt:lpwstr>ebc0beb2-ea26-4367-a01b-0621b24bfc62</vt:lpwstr>
  </property>
  <property fmtid="{D5CDD505-2E9C-101B-9397-08002B2CF9AE}" pid="10" name="MSIP_Label_2f90dfaf-3227-49c1-ac9e-e3a490b2dbb5_ActionId">
    <vt:lpwstr>cd4b80fc-4317-4834-97af-074629d56d1b</vt:lpwstr>
  </property>
  <property fmtid="{D5CDD505-2E9C-101B-9397-08002B2CF9AE}" pid="11" name="MSIP_Label_2f90dfaf-3227-49c1-ac9e-e3a490b2dbb5_ContentBits">
    <vt:lpwstr>1</vt:lpwstr>
  </property>
  <property fmtid="{D5CDD505-2E9C-101B-9397-08002B2CF9AE}" pid="12" name="MSIP_Label_2f90dfaf-3227-49c1-ac9e-e3a490b2dbb5_Tag">
    <vt:lpwstr>50, 3, 0, 1</vt:lpwstr>
  </property>
  <property fmtid="{D5CDD505-2E9C-101B-9397-08002B2CF9AE}" pid="13" name="ContentTypeId">
    <vt:lpwstr>0x010100188F1F502F03A249B0C80D07F0340371</vt:lpwstr>
  </property>
</Properties>
</file>