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4138E" w14:textId="38742690" w:rsidR="00D27452" w:rsidRPr="00D27452" w:rsidRDefault="00D27452" w:rsidP="00D27452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D27452">
        <w:rPr>
          <w:rFonts w:eastAsia="Times New Roman" w:cstheme="minorHAnsi"/>
          <w:b/>
          <w:bCs/>
          <w:sz w:val="28"/>
          <w:szCs w:val="28"/>
          <w:lang w:eastAsia="pl-PL"/>
        </w:rPr>
        <w:t>Mniej transakc</w:t>
      </w:r>
      <w:r w:rsidR="002A406A">
        <w:rPr>
          <w:rFonts w:eastAsia="Times New Roman" w:cstheme="minorHAnsi"/>
          <w:b/>
          <w:bCs/>
          <w:sz w:val="28"/>
          <w:szCs w:val="28"/>
          <w:lang w:eastAsia="pl-PL"/>
        </w:rPr>
        <w:t xml:space="preserve">ji, wyższe ceny. Polacy czwartą </w:t>
      </w:r>
      <w:r w:rsidR="002A406A" w:rsidRPr="00D316F5">
        <w:rPr>
          <w:rFonts w:eastAsia="Times New Roman" w:cstheme="minorHAnsi"/>
          <w:b/>
          <w:bCs/>
          <w:sz w:val="28"/>
          <w:szCs w:val="28"/>
          <w:lang w:eastAsia="pl-PL"/>
        </w:rPr>
        <w:t>grupą</w:t>
      </w:r>
      <w:r w:rsidRPr="00D316F5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r w:rsidR="00CE4D75" w:rsidRPr="00D316F5">
        <w:rPr>
          <w:b/>
          <w:sz w:val="28"/>
          <w:szCs w:val="28"/>
        </w:rPr>
        <w:t>zagranicznych</w:t>
      </w:r>
      <w:r w:rsidR="00D316F5">
        <w:t xml:space="preserve"> </w:t>
      </w:r>
      <w:r w:rsidR="002A406A">
        <w:rPr>
          <w:rFonts w:eastAsia="Times New Roman" w:cstheme="minorHAnsi"/>
          <w:b/>
          <w:bCs/>
          <w:sz w:val="28"/>
          <w:szCs w:val="28"/>
          <w:lang w:eastAsia="pl-PL"/>
        </w:rPr>
        <w:t>nabywców w Marbelli i trzecią</w:t>
      </w:r>
      <w:r w:rsidRPr="00D27452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w Esteponie</w:t>
      </w:r>
    </w:p>
    <w:p w14:paraId="5C8EF11F" w14:textId="77777777" w:rsidR="00D27452" w:rsidRPr="00D27452" w:rsidRDefault="00D27452" w:rsidP="00D27452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D27452">
        <w:rPr>
          <w:rFonts w:eastAsia="Times New Roman" w:cstheme="minorHAnsi"/>
          <w:sz w:val="28"/>
          <w:szCs w:val="28"/>
          <w:lang w:eastAsia="pl-PL"/>
        </w:rPr>
        <w:t>W pierwszej poło</w:t>
      </w:r>
      <w:r w:rsidR="00456DED" w:rsidRPr="00880DA0">
        <w:rPr>
          <w:rFonts w:eastAsia="Times New Roman" w:cstheme="minorHAnsi"/>
          <w:sz w:val="28"/>
          <w:szCs w:val="28"/>
          <w:lang w:eastAsia="pl-PL"/>
        </w:rPr>
        <w:t xml:space="preserve">wie 2026 r. w Złotym Trójkącie, czyli </w:t>
      </w:r>
      <w:r w:rsidR="008541E6">
        <w:rPr>
          <w:rFonts w:eastAsia="Times New Roman" w:cstheme="minorHAnsi"/>
          <w:sz w:val="28"/>
          <w:szCs w:val="28"/>
          <w:lang w:eastAsia="pl-PL"/>
        </w:rPr>
        <w:t xml:space="preserve">w </w:t>
      </w:r>
      <w:r w:rsidR="00456DED" w:rsidRPr="00880DA0">
        <w:rPr>
          <w:rFonts w:eastAsia="Times New Roman" w:cstheme="minorHAnsi"/>
          <w:sz w:val="28"/>
          <w:szCs w:val="28"/>
          <w:lang w:eastAsia="pl-PL"/>
        </w:rPr>
        <w:t>Marbelli, Esteponie i Benahavís,</w:t>
      </w:r>
      <w:r w:rsidRPr="00D27452">
        <w:rPr>
          <w:rFonts w:eastAsia="Times New Roman" w:cstheme="minorHAnsi"/>
          <w:sz w:val="28"/>
          <w:szCs w:val="28"/>
          <w:lang w:eastAsia="pl-PL"/>
        </w:rPr>
        <w:t xml:space="preserve"> sprzedano 3 422 nieruchomości</w:t>
      </w:r>
      <w:r w:rsidR="00456DED" w:rsidRPr="00880DA0">
        <w:rPr>
          <w:rFonts w:eastAsia="Times New Roman" w:cstheme="minorHAnsi"/>
          <w:sz w:val="28"/>
          <w:szCs w:val="28"/>
          <w:lang w:eastAsia="pl-PL"/>
        </w:rPr>
        <w:t xml:space="preserve">. </w:t>
      </w:r>
      <w:r w:rsidR="002212E0">
        <w:rPr>
          <w:rFonts w:eastAsia="Times New Roman" w:cstheme="minorHAnsi"/>
          <w:sz w:val="28"/>
          <w:szCs w:val="28"/>
          <w:lang w:eastAsia="pl-PL"/>
        </w:rPr>
        <w:t>Liczba</w:t>
      </w:r>
      <w:r w:rsidR="00456DED" w:rsidRPr="00880DA0">
        <w:rPr>
          <w:rFonts w:eastAsia="Times New Roman" w:cstheme="minorHAnsi"/>
          <w:sz w:val="28"/>
          <w:szCs w:val="28"/>
          <w:lang w:eastAsia="pl-PL"/>
        </w:rPr>
        <w:t xml:space="preserve"> transakcji spadła</w:t>
      </w:r>
      <w:r w:rsidR="001D6879" w:rsidRPr="00880DA0">
        <w:rPr>
          <w:rFonts w:eastAsia="Times New Roman" w:cstheme="minorHAnsi"/>
          <w:sz w:val="28"/>
          <w:szCs w:val="28"/>
          <w:lang w:eastAsia="pl-PL"/>
        </w:rPr>
        <w:t>, ale średnia cena</w:t>
      </w:r>
      <w:r w:rsidRPr="00D27452">
        <w:rPr>
          <w:rFonts w:eastAsia="Times New Roman" w:cstheme="minorHAnsi"/>
          <w:sz w:val="28"/>
          <w:szCs w:val="28"/>
          <w:lang w:eastAsia="pl-PL"/>
        </w:rPr>
        <w:t xml:space="preserve"> transakcyjna wzrosła o 15,5 proc., do 4 366 euro za metr kwadratowy. </w:t>
      </w:r>
      <w:r w:rsidR="001D6879" w:rsidRPr="00880DA0">
        <w:rPr>
          <w:rFonts w:eastAsia="Times New Roman" w:cstheme="minorHAnsi"/>
          <w:sz w:val="28"/>
          <w:szCs w:val="28"/>
          <w:lang w:eastAsia="pl-PL"/>
        </w:rPr>
        <w:t>Polacy są obecnie w Marbelli czwartą</w:t>
      </w:r>
      <w:r w:rsidR="008541E6">
        <w:rPr>
          <w:rFonts w:eastAsia="Times New Roman" w:cstheme="minorHAnsi"/>
          <w:sz w:val="28"/>
          <w:szCs w:val="28"/>
          <w:lang w:eastAsia="pl-PL"/>
        </w:rPr>
        <w:t>, a w Esteponie</w:t>
      </w:r>
      <w:r w:rsidR="001D6879" w:rsidRPr="00D27452">
        <w:rPr>
          <w:rFonts w:eastAsia="Times New Roman" w:cstheme="minorHAnsi"/>
          <w:sz w:val="28"/>
          <w:szCs w:val="28"/>
          <w:lang w:eastAsia="pl-PL"/>
        </w:rPr>
        <w:t xml:space="preserve"> trzecią</w:t>
      </w:r>
      <w:r w:rsidR="001D6879" w:rsidRPr="00880DA0">
        <w:rPr>
          <w:rFonts w:eastAsia="Times New Roman" w:cstheme="minorHAnsi"/>
          <w:sz w:val="28"/>
          <w:szCs w:val="28"/>
          <w:lang w:eastAsia="pl-PL"/>
        </w:rPr>
        <w:t xml:space="preserve"> grupą zagranicznych nabywców</w:t>
      </w:r>
      <w:r w:rsidR="001D6879" w:rsidRPr="00D27452">
        <w:rPr>
          <w:rFonts w:eastAsia="Times New Roman" w:cstheme="minorHAnsi"/>
          <w:sz w:val="28"/>
          <w:szCs w:val="28"/>
          <w:lang w:eastAsia="pl-PL"/>
        </w:rPr>
        <w:t>.</w:t>
      </w:r>
      <w:r w:rsidRPr="00D27452">
        <w:rPr>
          <w:rFonts w:eastAsia="Times New Roman" w:cstheme="minorHAnsi"/>
          <w:sz w:val="28"/>
          <w:szCs w:val="28"/>
          <w:lang w:eastAsia="pl-PL"/>
        </w:rPr>
        <w:t xml:space="preserve"> </w:t>
      </w:r>
    </w:p>
    <w:p w14:paraId="72C5177D" w14:textId="04644F00" w:rsidR="00D27452" w:rsidRPr="00D316F5" w:rsidRDefault="002212E0" w:rsidP="00D27452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Jak wynika z raportu </w:t>
      </w:r>
      <w:r w:rsidR="00D27452" w:rsidRPr="00D27452">
        <w:rPr>
          <w:rFonts w:eastAsia="Times New Roman" w:cstheme="minorHAnsi"/>
          <w:sz w:val="28"/>
          <w:szCs w:val="28"/>
          <w:lang w:eastAsia="pl-PL"/>
        </w:rPr>
        <w:t xml:space="preserve">„Marbella </w:t>
      </w:r>
      <w:r w:rsidR="00D27452" w:rsidRPr="00D316F5">
        <w:rPr>
          <w:rFonts w:eastAsia="Times New Roman" w:cstheme="minorHAnsi"/>
          <w:sz w:val="28"/>
          <w:szCs w:val="28"/>
          <w:lang w:eastAsia="pl-PL"/>
        </w:rPr>
        <w:t>Property Mar</w:t>
      </w:r>
      <w:r w:rsidR="008541E6" w:rsidRPr="00D316F5">
        <w:rPr>
          <w:rFonts w:eastAsia="Times New Roman" w:cstheme="minorHAnsi"/>
          <w:sz w:val="28"/>
          <w:szCs w:val="28"/>
          <w:lang w:eastAsia="pl-PL"/>
        </w:rPr>
        <w:t>ket in H1 2026”</w:t>
      </w:r>
      <w:r w:rsidR="001D6879" w:rsidRPr="00D316F5">
        <w:rPr>
          <w:rFonts w:eastAsia="Times New Roman" w:cstheme="minorHAnsi"/>
          <w:sz w:val="28"/>
          <w:szCs w:val="28"/>
          <w:lang w:eastAsia="pl-PL"/>
        </w:rPr>
        <w:t xml:space="preserve"> (DM Properties/</w:t>
      </w:r>
      <w:r w:rsidR="00D27452" w:rsidRPr="00D316F5">
        <w:rPr>
          <w:rFonts w:eastAsia="Times New Roman" w:cstheme="minorHAnsi"/>
          <w:sz w:val="28"/>
          <w:szCs w:val="28"/>
          <w:lang w:eastAsia="pl-PL"/>
        </w:rPr>
        <w:t xml:space="preserve"> Knight Frank, </w:t>
      </w:r>
      <w:r w:rsidR="00D316F5" w:rsidRPr="00D316F5">
        <w:rPr>
          <w:sz w:val="28"/>
          <w:szCs w:val="28"/>
        </w:rPr>
        <w:t>na podstawie danych Notary Statistics Portal oraz Consejo General del Notariado</w:t>
      </w:r>
      <w:r w:rsidR="00D316F5" w:rsidRPr="00D316F5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1D6879" w:rsidRPr="00D316F5">
        <w:rPr>
          <w:rFonts w:eastAsia="Times New Roman" w:cstheme="minorHAnsi"/>
          <w:sz w:val="28"/>
          <w:szCs w:val="28"/>
          <w:lang w:eastAsia="pl-PL"/>
        </w:rPr>
        <w:t>opublikowanego we wrześniu</w:t>
      </w:r>
      <w:r w:rsidR="00D27452" w:rsidRPr="00D316F5">
        <w:rPr>
          <w:rFonts w:eastAsia="Times New Roman" w:cstheme="minorHAnsi"/>
          <w:sz w:val="28"/>
          <w:szCs w:val="28"/>
          <w:lang w:eastAsia="pl-PL"/>
        </w:rPr>
        <w:t xml:space="preserve"> 2026 r.), </w:t>
      </w:r>
      <w:r w:rsidR="00880DA0" w:rsidRPr="00D316F5">
        <w:rPr>
          <w:rFonts w:eastAsia="Times New Roman" w:cstheme="minorHAnsi"/>
          <w:sz w:val="28"/>
          <w:szCs w:val="28"/>
          <w:lang w:eastAsia="pl-PL"/>
        </w:rPr>
        <w:t>w pierwszej połowie</w:t>
      </w:r>
      <w:r w:rsidR="00D27452" w:rsidRPr="00D316F5">
        <w:rPr>
          <w:rFonts w:eastAsia="Times New Roman" w:cstheme="minorHAnsi"/>
          <w:sz w:val="28"/>
          <w:szCs w:val="28"/>
          <w:lang w:eastAsia="pl-PL"/>
        </w:rPr>
        <w:t xml:space="preserve"> 2026 r. w trzech gminach Złotego Trójkąta zawart</w:t>
      </w:r>
      <w:r w:rsidR="00880DA0" w:rsidRPr="00D316F5">
        <w:rPr>
          <w:rFonts w:eastAsia="Times New Roman" w:cstheme="minorHAnsi"/>
          <w:sz w:val="28"/>
          <w:szCs w:val="28"/>
          <w:lang w:eastAsia="pl-PL"/>
        </w:rPr>
        <w:t>o 3 422 transakcje</w:t>
      </w:r>
      <w:r w:rsidR="00880DA0" w:rsidRPr="00880DA0">
        <w:rPr>
          <w:rFonts w:eastAsia="Times New Roman" w:cstheme="minorHAnsi"/>
          <w:sz w:val="28"/>
          <w:szCs w:val="28"/>
          <w:lang w:eastAsia="pl-PL"/>
        </w:rPr>
        <w:t xml:space="preserve"> mieszkaniowe.</w:t>
      </w:r>
      <w:r w:rsidR="00D27452" w:rsidRPr="00D27452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80DA0" w:rsidRPr="00880DA0">
        <w:rPr>
          <w:rFonts w:eastAsia="Times New Roman" w:cstheme="minorHAnsi"/>
          <w:sz w:val="28"/>
          <w:szCs w:val="28"/>
          <w:lang w:eastAsia="pl-PL"/>
        </w:rPr>
        <w:t xml:space="preserve">W porównaniu </w:t>
      </w:r>
      <w:r>
        <w:rPr>
          <w:rFonts w:eastAsia="Times New Roman" w:cstheme="minorHAnsi"/>
          <w:sz w:val="28"/>
          <w:szCs w:val="28"/>
          <w:lang w:eastAsia="pl-PL"/>
        </w:rPr>
        <w:t>rok do roku</w:t>
      </w:r>
      <w:r w:rsidR="00880DA0" w:rsidRPr="00880DA0">
        <w:rPr>
          <w:rFonts w:eastAsia="Times New Roman" w:cstheme="minorHAnsi"/>
          <w:sz w:val="28"/>
          <w:szCs w:val="28"/>
          <w:lang w:eastAsia="pl-PL"/>
        </w:rPr>
        <w:t xml:space="preserve"> odnotowano spadek (o 20,7 proc. mniej), r</w:t>
      </w:r>
      <w:r w:rsidR="00D27452" w:rsidRPr="00D27452">
        <w:rPr>
          <w:rFonts w:eastAsia="Times New Roman" w:cstheme="minorHAnsi"/>
          <w:sz w:val="28"/>
          <w:szCs w:val="28"/>
          <w:lang w:eastAsia="pl-PL"/>
        </w:rPr>
        <w:t>ównolegle śre</w:t>
      </w:r>
      <w:r w:rsidR="00880DA0" w:rsidRPr="00880DA0">
        <w:rPr>
          <w:rFonts w:eastAsia="Times New Roman" w:cstheme="minorHAnsi"/>
          <w:sz w:val="28"/>
          <w:szCs w:val="28"/>
          <w:lang w:eastAsia="pl-PL"/>
        </w:rPr>
        <w:t>dnie ceny transakcyjne wzrosły</w:t>
      </w:r>
      <w:r w:rsidR="00D27452" w:rsidRPr="00D27452">
        <w:rPr>
          <w:rFonts w:eastAsia="Times New Roman" w:cstheme="minorHAnsi"/>
          <w:sz w:val="28"/>
          <w:szCs w:val="28"/>
          <w:lang w:eastAsia="pl-PL"/>
        </w:rPr>
        <w:t>. W całym Złotym Trójkącie z 3 781 do 4 366 eu</w:t>
      </w:r>
      <w:r w:rsidR="00880DA0" w:rsidRPr="00880DA0">
        <w:rPr>
          <w:rFonts w:eastAsia="Times New Roman" w:cstheme="minorHAnsi"/>
          <w:sz w:val="28"/>
          <w:szCs w:val="28"/>
          <w:lang w:eastAsia="pl-PL"/>
        </w:rPr>
        <w:t xml:space="preserve">ro za mkw., </w:t>
      </w:r>
      <w:r w:rsidR="00D27452" w:rsidRPr="00D27452">
        <w:rPr>
          <w:rFonts w:eastAsia="Times New Roman" w:cstheme="minorHAnsi"/>
          <w:sz w:val="28"/>
          <w:szCs w:val="28"/>
          <w:lang w:eastAsia="pl-PL"/>
        </w:rPr>
        <w:t xml:space="preserve">czyli o 15,5 proc. rok do roku. W </w:t>
      </w:r>
      <w:r w:rsidR="00D27452" w:rsidRPr="00D316F5">
        <w:rPr>
          <w:rFonts w:eastAsia="Times New Roman" w:cstheme="minorHAnsi"/>
          <w:sz w:val="28"/>
          <w:szCs w:val="28"/>
          <w:lang w:eastAsia="pl-PL"/>
        </w:rPr>
        <w:t>Marbelli o 13,5 proc., w Esteponie o 19,2 proc., w Benahavís o 19,6 proc.</w:t>
      </w:r>
    </w:p>
    <w:p w14:paraId="0E22FF77" w14:textId="05481F98" w:rsidR="00880DA0" w:rsidRPr="00880DA0" w:rsidRDefault="00D27452" w:rsidP="00880DA0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D316F5">
        <w:rPr>
          <w:rFonts w:asciiTheme="minorHAnsi" w:hAnsiTheme="minorHAnsi" w:cstheme="minorHAnsi"/>
          <w:sz w:val="28"/>
          <w:szCs w:val="28"/>
        </w:rPr>
        <w:t xml:space="preserve">– </w:t>
      </w:r>
      <w:r w:rsidR="00D316F5" w:rsidRPr="00D316F5">
        <w:rPr>
          <w:rFonts w:asciiTheme="minorHAnsi" w:hAnsiTheme="minorHAnsi" w:cstheme="minorHAnsi"/>
          <w:sz w:val="28"/>
          <w:szCs w:val="28"/>
        </w:rPr>
        <w:t>Mniejsza liczba transakcji przy jednoczesnym wzroście średnich cen pokazuje, że spowolnienie aktywności nie przełożyło się dotąd na spadek cen. Jednym z czynników podtrzymujących ceny w najbardziej poszukiwanych lokalizacjach Marbel</w:t>
      </w:r>
      <w:r w:rsidR="00D316F5" w:rsidRPr="00D316F5">
        <w:rPr>
          <w:rFonts w:asciiTheme="minorHAnsi" w:hAnsiTheme="minorHAnsi" w:cstheme="minorHAnsi"/>
          <w:sz w:val="28"/>
          <w:szCs w:val="28"/>
        </w:rPr>
        <w:t xml:space="preserve">li pozostaje ograniczona podaż. </w:t>
      </w:r>
      <w:r w:rsidR="0010058B" w:rsidRPr="00D316F5">
        <w:rPr>
          <w:rFonts w:asciiTheme="minorHAnsi" w:hAnsiTheme="minorHAnsi" w:cstheme="minorHAnsi"/>
          <w:sz w:val="28"/>
          <w:szCs w:val="28"/>
        </w:rPr>
        <w:t xml:space="preserve">Po kilku aktywnych latach rynek wraca do normalnego tempa </w:t>
      </w:r>
      <w:r w:rsidR="00880DA0" w:rsidRPr="00D316F5">
        <w:rPr>
          <w:rFonts w:asciiTheme="minorHAnsi" w:hAnsiTheme="minorHAnsi" w:cstheme="minorHAnsi"/>
          <w:sz w:val="28"/>
          <w:szCs w:val="28"/>
        </w:rPr>
        <w:t xml:space="preserve">– </w:t>
      </w:r>
      <w:r w:rsidR="0010058B" w:rsidRPr="00D316F5">
        <w:rPr>
          <w:rFonts w:asciiTheme="minorHAnsi" w:hAnsiTheme="minorHAnsi" w:cstheme="minorHAnsi"/>
          <w:sz w:val="28"/>
          <w:szCs w:val="28"/>
        </w:rPr>
        <w:t>komentuje Joanna Ossowska-Rodziewicz, współwłaścicielka agencji nieruchomości By</w:t>
      </w:r>
      <w:r w:rsidR="0010058B">
        <w:rPr>
          <w:rFonts w:asciiTheme="minorHAnsi" w:hAnsiTheme="minorHAnsi" w:cstheme="minorHAnsi"/>
          <w:sz w:val="28"/>
          <w:szCs w:val="28"/>
        </w:rPr>
        <w:t>-Bright.</w:t>
      </w:r>
    </w:p>
    <w:p w14:paraId="6FAF1ED1" w14:textId="77777777" w:rsidR="00D27452" w:rsidRPr="00D27452" w:rsidRDefault="00D27452" w:rsidP="00D27452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D27452">
        <w:rPr>
          <w:rFonts w:eastAsia="Times New Roman" w:cstheme="minorHAnsi"/>
          <w:b/>
          <w:bCs/>
          <w:sz w:val="28"/>
          <w:szCs w:val="28"/>
          <w:lang w:eastAsia="pl-PL"/>
        </w:rPr>
        <w:t xml:space="preserve">Polacy </w:t>
      </w:r>
      <w:r w:rsidR="00CA08C3">
        <w:rPr>
          <w:rFonts w:eastAsia="Times New Roman" w:cstheme="minorHAnsi"/>
          <w:b/>
          <w:bCs/>
          <w:sz w:val="28"/>
          <w:szCs w:val="28"/>
          <w:lang w:eastAsia="pl-PL"/>
        </w:rPr>
        <w:t>na czwartym miejscu wśród nabywców w</w:t>
      </w:r>
      <w:r w:rsidRPr="00D27452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Marbelli</w:t>
      </w:r>
    </w:p>
    <w:p w14:paraId="2C3E26AC" w14:textId="77777777" w:rsidR="00D27452" w:rsidRPr="00D27452" w:rsidRDefault="00D27452" w:rsidP="00D27452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D27452">
        <w:rPr>
          <w:rFonts w:eastAsia="Times New Roman" w:cstheme="minorHAnsi"/>
          <w:sz w:val="28"/>
          <w:szCs w:val="28"/>
          <w:lang w:eastAsia="pl-PL"/>
        </w:rPr>
        <w:t>Rynek Złotego Trójkąta pozostaje zdominowany przez kupując</w:t>
      </w:r>
      <w:bookmarkStart w:id="0" w:name="_GoBack"/>
      <w:bookmarkEnd w:id="0"/>
      <w:r w:rsidRPr="00D27452">
        <w:rPr>
          <w:rFonts w:eastAsia="Times New Roman" w:cstheme="minorHAnsi"/>
          <w:sz w:val="28"/>
          <w:szCs w:val="28"/>
          <w:lang w:eastAsia="pl-PL"/>
        </w:rPr>
        <w:t xml:space="preserve">ych z zagranicy. Jak podaje </w:t>
      </w:r>
      <w:r w:rsidR="0010058B">
        <w:rPr>
          <w:rFonts w:eastAsia="Times New Roman" w:cstheme="minorHAnsi"/>
          <w:sz w:val="28"/>
          <w:szCs w:val="28"/>
          <w:lang w:eastAsia="pl-PL"/>
        </w:rPr>
        <w:t>Knight Frank</w:t>
      </w:r>
      <w:r w:rsidRPr="00D27452">
        <w:rPr>
          <w:rFonts w:eastAsia="Times New Roman" w:cstheme="minorHAnsi"/>
          <w:sz w:val="28"/>
          <w:szCs w:val="28"/>
          <w:lang w:eastAsia="pl-PL"/>
        </w:rPr>
        <w:t xml:space="preserve">, w drugim kwartale 2026 r. cudzoziemcy odpowiadali za ok. 37 proc. zakupów </w:t>
      </w:r>
      <w:r w:rsidR="0010058B">
        <w:rPr>
          <w:rFonts w:eastAsia="Times New Roman" w:cstheme="minorHAnsi"/>
          <w:sz w:val="28"/>
          <w:szCs w:val="28"/>
          <w:lang w:eastAsia="pl-PL"/>
        </w:rPr>
        <w:t>nieruchomości</w:t>
      </w:r>
      <w:r w:rsidRPr="00D27452">
        <w:rPr>
          <w:rFonts w:eastAsia="Times New Roman" w:cstheme="minorHAnsi"/>
          <w:sz w:val="28"/>
          <w:szCs w:val="28"/>
          <w:lang w:eastAsia="pl-PL"/>
        </w:rPr>
        <w:t xml:space="preserve"> w całej prowincji Malaga, ale w samej Marbelli za 61 proc., w Esteponie za 68 proc., a w Benahavís za 85 proc.</w:t>
      </w:r>
    </w:p>
    <w:p w14:paraId="675E59F1" w14:textId="77777777" w:rsidR="00D27452" w:rsidRPr="00D27452" w:rsidRDefault="0010058B" w:rsidP="00D27452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W</w:t>
      </w:r>
      <w:r w:rsidR="00D27452" w:rsidRPr="00D27452">
        <w:rPr>
          <w:rFonts w:eastAsia="Times New Roman" w:cstheme="minorHAnsi"/>
          <w:sz w:val="28"/>
          <w:szCs w:val="28"/>
          <w:lang w:eastAsia="pl-PL"/>
        </w:rPr>
        <w:t>śród zagranicznych naby</w:t>
      </w:r>
      <w:r w:rsidR="002212E0">
        <w:rPr>
          <w:rFonts w:eastAsia="Times New Roman" w:cstheme="minorHAnsi"/>
          <w:sz w:val="28"/>
          <w:szCs w:val="28"/>
          <w:lang w:eastAsia="pl-PL"/>
        </w:rPr>
        <w:t>wców w Marbelli największą grupę</w:t>
      </w:r>
      <w:r w:rsidR="00D27452" w:rsidRPr="00D27452">
        <w:rPr>
          <w:rFonts w:eastAsia="Times New Roman" w:cstheme="minorHAnsi"/>
          <w:sz w:val="28"/>
          <w:szCs w:val="28"/>
          <w:lang w:eastAsia="pl-PL"/>
        </w:rPr>
        <w:t xml:space="preserve"> s</w:t>
      </w:r>
      <w:r>
        <w:rPr>
          <w:rFonts w:eastAsia="Times New Roman" w:cstheme="minorHAnsi"/>
          <w:sz w:val="28"/>
          <w:szCs w:val="28"/>
          <w:lang w:eastAsia="pl-PL"/>
        </w:rPr>
        <w:t>tanowią</w:t>
      </w:r>
      <w:r w:rsidR="00D27452" w:rsidRPr="00D27452">
        <w:rPr>
          <w:rFonts w:eastAsia="Times New Roman" w:cstheme="minorHAnsi"/>
          <w:sz w:val="28"/>
          <w:szCs w:val="28"/>
          <w:lang w:eastAsia="pl-PL"/>
        </w:rPr>
        <w:t xml:space="preserve"> Brytyjczycy, a kolejne miejsca zajmują Szwedzi, Holendrzy, Polacy i Niemcy. W Esteponie ranking otwierają Holendrzy, przed Brytyjczykami i Polakami.</w:t>
      </w:r>
    </w:p>
    <w:p w14:paraId="29AD5B01" w14:textId="77777777" w:rsidR="00D27452" w:rsidRPr="00D27452" w:rsidRDefault="002212E0" w:rsidP="00D27452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2212E0">
        <w:rPr>
          <w:sz w:val="28"/>
          <w:szCs w:val="28"/>
        </w:rPr>
        <w:t>Rosnącą obecność polskich nabywców widać też w danych ogólnokrajowych Registradores de España.</w:t>
      </w:r>
      <w:r w:rsidR="0010058B" w:rsidRPr="002212E0">
        <w:rPr>
          <w:rFonts w:eastAsia="Times New Roman" w:cstheme="minorHAnsi"/>
          <w:sz w:val="28"/>
          <w:szCs w:val="28"/>
          <w:lang w:eastAsia="pl-PL"/>
        </w:rPr>
        <w:t xml:space="preserve"> W</w:t>
      </w:r>
      <w:r w:rsidR="00D27452" w:rsidRPr="00D27452">
        <w:rPr>
          <w:rFonts w:eastAsia="Times New Roman" w:cstheme="minorHAnsi"/>
          <w:sz w:val="28"/>
          <w:szCs w:val="28"/>
          <w:lang w:eastAsia="pl-PL"/>
        </w:rPr>
        <w:t xml:space="preserve"> pierwszym półroczu 2026 r. Polacy kupili w Hiszpanii 2 269 nieruchomości</w:t>
      </w:r>
      <w:r w:rsidR="008541E6">
        <w:rPr>
          <w:rFonts w:eastAsia="Times New Roman" w:cstheme="minorHAnsi"/>
          <w:sz w:val="28"/>
          <w:szCs w:val="28"/>
          <w:lang w:eastAsia="pl-PL"/>
        </w:rPr>
        <w:t>, czyli o</w:t>
      </w:r>
      <w:r w:rsidR="00D27452" w:rsidRPr="00D27452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541E6">
        <w:rPr>
          <w:rFonts w:eastAsia="Times New Roman" w:cstheme="minorHAnsi"/>
          <w:sz w:val="28"/>
          <w:szCs w:val="28"/>
          <w:lang w:eastAsia="pl-PL"/>
        </w:rPr>
        <w:t>prawie</w:t>
      </w:r>
      <w:r w:rsidR="00D27452" w:rsidRPr="00D27452">
        <w:rPr>
          <w:rFonts w:eastAsia="Times New Roman" w:cstheme="minorHAnsi"/>
          <w:sz w:val="28"/>
          <w:szCs w:val="28"/>
          <w:lang w:eastAsia="pl-PL"/>
        </w:rPr>
        <w:t xml:space="preserve"> 9 proc. więcej niż rok wcześniej. W samym drugim kwartale było to 1 143 transakcje, czyli 4,33 proc. wszystkich zakupów dokonanych przez obcokrajowców i ósme miejsce w zestawieniu narodowości. </w:t>
      </w:r>
    </w:p>
    <w:p w14:paraId="7A88F0C7" w14:textId="77777777" w:rsidR="0010058B" w:rsidRDefault="00D27452" w:rsidP="00D27452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D27452">
        <w:rPr>
          <w:rFonts w:eastAsia="Times New Roman" w:cstheme="minorHAnsi"/>
          <w:sz w:val="28"/>
          <w:szCs w:val="28"/>
          <w:lang w:eastAsia="pl-PL"/>
        </w:rPr>
        <w:lastRenderedPageBreak/>
        <w:t xml:space="preserve">– Polska przestała być dla tego rynku ciekawostką. </w:t>
      </w:r>
      <w:r w:rsidR="0010058B">
        <w:rPr>
          <w:rFonts w:eastAsia="Times New Roman" w:cstheme="minorHAnsi"/>
          <w:sz w:val="28"/>
          <w:szCs w:val="28"/>
          <w:lang w:eastAsia="pl-PL"/>
        </w:rPr>
        <w:t>W ciągu kilku lat z</w:t>
      </w:r>
      <w:r w:rsidRPr="00D27452">
        <w:rPr>
          <w:rFonts w:eastAsia="Times New Roman" w:cstheme="minorHAnsi"/>
          <w:sz w:val="28"/>
          <w:szCs w:val="28"/>
          <w:lang w:eastAsia="pl-PL"/>
        </w:rPr>
        <w:t>mienił się też typ klient</w:t>
      </w:r>
      <w:r w:rsidR="0010058B">
        <w:rPr>
          <w:rFonts w:eastAsia="Times New Roman" w:cstheme="minorHAnsi"/>
          <w:sz w:val="28"/>
          <w:szCs w:val="28"/>
          <w:lang w:eastAsia="pl-PL"/>
        </w:rPr>
        <w:t>a: dziś rzadziej</w:t>
      </w:r>
      <w:r w:rsidRPr="00D27452">
        <w:rPr>
          <w:rFonts w:eastAsia="Times New Roman" w:cstheme="minorHAnsi"/>
          <w:sz w:val="28"/>
          <w:szCs w:val="28"/>
          <w:lang w:eastAsia="pl-PL"/>
        </w:rPr>
        <w:t xml:space="preserve"> rozmawiam z kimś, kto szuka </w:t>
      </w:r>
      <w:r w:rsidR="0010058B">
        <w:rPr>
          <w:rFonts w:eastAsia="Times New Roman" w:cstheme="minorHAnsi"/>
          <w:sz w:val="28"/>
          <w:szCs w:val="28"/>
          <w:lang w:eastAsia="pl-PL"/>
        </w:rPr>
        <w:t xml:space="preserve">tylko </w:t>
      </w:r>
      <w:r w:rsidRPr="00D27452">
        <w:rPr>
          <w:rFonts w:eastAsia="Times New Roman" w:cstheme="minorHAnsi"/>
          <w:sz w:val="28"/>
          <w:szCs w:val="28"/>
          <w:lang w:eastAsia="pl-PL"/>
        </w:rPr>
        <w:t xml:space="preserve">wakacyjnego lokum. Rozmawiam z przedsiębiorcą, który ma plan na 10 lat, </w:t>
      </w:r>
      <w:r w:rsidR="0010058B">
        <w:rPr>
          <w:rFonts w:eastAsia="Times New Roman" w:cstheme="minorHAnsi"/>
          <w:sz w:val="28"/>
          <w:szCs w:val="28"/>
          <w:lang w:eastAsia="pl-PL"/>
        </w:rPr>
        <w:t>pyta o międzynarodowe szkoły dla dzieci w okolicy i</w:t>
      </w:r>
      <w:r w:rsidRPr="00D27452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10058B">
        <w:rPr>
          <w:rFonts w:eastAsia="Times New Roman" w:cstheme="minorHAnsi"/>
          <w:sz w:val="28"/>
          <w:szCs w:val="28"/>
          <w:lang w:eastAsia="pl-PL"/>
        </w:rPr>
        <w:t>chce znać konkrety dotyczące podatków</w:t>
      </w:r>
      <w:r w:rsidRPr="00D27452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10058B">
        <w:rPr>
          <w:rFonts w:eastAsia="Times New Roman" w:cstheme="minorHAnsi"/>
          <w:sz w:val="28"/>
          <w:szCs w:val="28"/>
          <w:lang w:eastAsia="pl-PL"/>
        </w:rPr>
        <w:t>– mówi Robert Reiski, współwłaściciel agencji nieruchomości By-Bright.</w:t>
      </w:r>
    </w:p>
    <w:p w14:paraId="728A0411" w14:textId="77777777" w:rsidR="00D27452" w:rsidRPr="00D27452" w:rsidRDefault="00D27452" w:rsidP="00D27452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D27452">
        <w:rPr>
          <w:rFonts w:eastAsia="Times New Roman" w:cstheme="minorHAnsi"/>
          <w:b/>
          <w:bCs/>
          <w:sz w:val="28"/>
          <w:szCs w:val="28"/>
          <w:lang w:eastAsia="pl-PL"/>
        </w:rPr>
        <w:t>Kupujący przestał się spieszyć</w:t>
      </w:r>
    </w:p>
    <w:p w14:paraId="33CAF118" w14:textId="77777777" w:rsidR="00D27452" w:rsidRPr="00D27452" w:rsidRDefault="00D27452" w:rsidP="0010058B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D27452">
        <w:rPr>
          <w:rFonts w:eastAsia="Times New Roman" w:cstheme="minorHAnsi"/>
          <w:sz w:val="28"/>
          <w:szCs w:val="28"/>
          <w:lang w:eastAsia="pl-PL"/>
        </w:rPr>
        <w:t xml:space="preserve">Najważniejsza zmiana pierwszego półrocza nie jest widoczna w liczbie transakcji, ale w sposobie podejmowania decyzji. Nabywcy porównują więcej ofert, dokładniej sprawdzają lokalizację, stan techniczny i cenę względem konkurencyjnych nieruchomości. </w:t>
      </w:r>
    </w:p>
    <w:p w14:paraId="0B8FF55F" w14:textId="77777777" w:rsidR="00D27452" w:rsidRPr="00D27452" w:rsidRDefault="00D27452" w:rsidP="00D27452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D27452">
        <w:rPr>
          <w:rFonts w:eastAsia="Times New Roman" w:cstheme="minorHAnsi"/>
          <w:sz w:val="28"/>
          <w:szCs w:val="28"/>
          <w:lang w:eastAsia="pl-PL"/>
        </w:rPr>
        <w:t>– Dla polskiego klienta oznacza to jedną pra</w:t>
      </w:r>
      <w:r w:rsidR="0010058B" w:rsidRPr="008541E6">
        <w:rPr>
          <w:rFonts w:eastAsia="Times New Roman" w:cstheme="minorHAnsi"/>
          <w:sz w:val="28"/>
          <w:szCs w:val="28"/>
          <w:lang w:eastAsia="pl-PL"/>
        </w:rPr>
        <w:t>ktyczną rzecz: mniejszą presję</w:t>
      </w:r>
      <w:r w:rsidRPr="00D27452">
        <w:rPr>
          <w:rFonts w:eastAsia="Times New Roman" w:cstheme="minorHAnsi"/>
          <w:sz w:val="28"/>
          <w:szCs w:val="28"/>
          <w:lang w:eastAsia="pl-PL"/>
        </w:rPr>
        <w:t>. Mniej transakcji na rynku to więcej czasu na obejrzenie, sprawdzenie stanu prawnego i policzenie kosztów utrzymania</w:t>
      </w:r>
      <w:r w:rsidR="008541E6" w:rsidRPr="008541E6">
        <w:rPr>
          <w:rFonts w:eastAsia="Times New Roman" w:cstheme="minorHAnsi"/>
          <w:sz w:val="28"/>
          <w:szCs w:val="28"/>
          <w:lang w:eastAsia="pl-PL"/>
        </w:rPr>
        <w:t xml:space="preserve">. </w:t>
      </w:r>
      <w:r w:rsidR="008541E6" w:rsidRPr="008541E6">
        <w:rPr>
          <w:sz w:val="28"/>
          <w:szCs w:val="28"/>
        </w:rPr>
        <w:t>Rynek po kilku bardzo intensywnych latach wchodzi w spokojniejszą fazę: sprzedaje się mniej, ale ceny nie spadają, a udział kupujących z zagranicy pozostaje wysoki. Je</w:t>
      </w:r>
      <w:r w:rsidR="008541E6">
        <w:rPr>
          <w:sz w:val="28"/>
          <w:szCs w:val="28"/>
        </w:rPr>
        <w:t>dno się przy tym nie zmienia. W</w:t>
      </w:r>
      <w:r w:rsidR="008541E6" w:rsidRPr="008541E6">
        <w:rPr>
          <w:sz w:val="28"/>
          <w:szCs w:val="28"/>
        </w:rPr>
        <w:t xml:space="preserve"> najlepszych lokalizacjach Marbelli dobrych nieruchomości jest niewiele i te wciąż znajdują nabywców szybko </w:t>
      </w:r>
      <w:r w:rsidR="0010058B" w:rsidRPr="008541E6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541E6" w:rsidRPr="008541E6">
        <w:rPr>
          <w:rFonts w:eastAsia="Times New Roman" w:cstheme="minorHAnsi"/>
          <w:sz w:val="28"/>
          <w:szCs w:val="28"/>
          <w:lang w:eastAsia="pl-PL"/>
        </w:rPr>
        <w:t>– podsumowuje Joanna Ossowska-Rodziewicz</w:t>
      </w:r>
      <w:r w:rsidRPr="00D27452">
        <w:rPr>
          <w:rFonts w:eastAsia="Times New Roman" w:cstheme="minorHAnsi"/>
          <w:sz w:val="28"/>
          <w:szCs w:val="28"/>
          <w:lang w:eastAsia="pl-PL"/>
        </w:rPr>
        <w:t>.</w:t>
      </w:r>
    </w:p>
    <w:p w14:paraId="2CC4F436" w14:textId="77777777" w:rsidR="00065854" w:rsidRPr="00880DA0" w:rsidRDefault="00065854">
      <w:pPr>
        <w:rPr>
          <w:rFonts w:cstheme="minorHAnsi"/>
          <w:sz w:val="28"/>
          <w:szCs w:val="28"/>
        </w:rPr>
      </w:pPr>
    </w:p>
    <w:sectPr w:rsidR="00065854" w:rsidRPr="00880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496B1006" w16cex:dateUtc="2026-09-17T09:14:00Z"/>
  <w16cex:commentExtensible w16cex:durableId="497D58A0" w16cex:dateUtc="2026-09-17T09:15:00Z"/>
  <w16cex:commentExtensible w16cex:durableId="25B94E0A" w16cex:dateUtc="2026-09-17T09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02552E36" w16cid:durableId="496B1006"/>
  <w16cid:commentId w16cid:paraId="2C585737" w16cid:durableId="497D58A0"/>
  <w16cid:commentId w16cid:paraId="61772685" w16cid:durableId="25B94E0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8705F"/>
    <w:multiLevelType w:val="multilevel"/>
    <w:tmpl w:val="70887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452"/>
    <w:rsid w:val="00065854"/>
    <w:rsid w:val="0010058B"/>
    <w:rsid w:val="001D6879"/>
    <w:rsid w:val="002212E0"/>
    <w:rsid w:val="002A406A"/>
    <w:rsid w:val="00347075"/>
    <w:rsid w:val="00456DED"/>
    <w:rsid w:val="008541E6"/>
    <w:rsid w:val="00880DA0"/>
    <w:rsid w:val="00CA08C3"/>
    <w:rsid w:val="00CE4D75"/>
    <w:rsid w:val="00D27452"/>
    <w:rsid w:val="00D316F5"/>
    <w:rsid w:val="00F7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96799"/>
  <w15:chartTrackingRefBased/>
  <w15:docId w15:val="{16AA5717-8CE0-4240-B6A2-D6370A26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80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80DA0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4D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4D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4D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4D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4D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16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16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0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6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02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57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6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76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414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21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936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844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1822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0958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7917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0520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3358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7676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530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384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9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8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822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58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1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22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13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216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89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8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3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9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3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3</cp:revision>
  <dcterms:created xsi:type="dcterms:W3CDTF">2026-09-17T09:22:00Z</dcterms:created>
  <dcterms:modified xsi:type="dcterms:W3CDTF">2026-09-17T10:30:00Z</dcterms:modified>
</cp:coreProperties>
</file>