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color w:val="000000"/>
          <w:sz w:val="28"/>
          <w:szCs w:val="28"/>
        </w:rPr>
      </w:pPr>
      <w:r w:rsidDel="00000000" w:rsidR="00000000" w:rsidRPr="00000000">
        <w:rPr>
          <w:rFonts w:ascii="Arial" w:cs="Arial" w:eastAsia="Arial" w:hAnsi="Arial"/>
          <w:b w:val="1"/>
          <w:color w:val="000000"/>
          <w:sz w:val="32"/>
          <w:szCs w:val="32"/>
          <w:rtl w:val="0"/>
        </w:rPr>
        <w:t xml:space="preserve">Zákazníci </w:t>
      </w:r>
      <w:r w:rsidDel="00000000" w:rsidR="00000000" w:rsidRPr="00000000">
        <w:rPr>
          <w:rFonts w:ascii="Arial" w:cs="Arial" w:eastAsia="Arial" w:hAnsi="Arial"/>
          <w:b w:val="1"/>
          <w:color w:val="000000"/>
          <w:sz w:val="32"/>
          <w:szCs w:val="32"/>
          <w:rtl w:val="0"/>
        </w:rPr>
        <w:t xml:space="preserve">Rohlíku mají možnost darovat kredity na nákup na pomoc rodičům samoživitelům </w:t>
      </w:r>
      <w:r w:rsidDel="00000000" w:rsidR="00000000" w:rsidRPr="00000000">
        <w:rPr>
          <w:rtl w:val="0"/>
        </w:rPr>
      </w:r>
    </w:p>
    <w:p w:rsidR="00000000" w:rsidDel="00000000" w:rsidP="00000000" w:rsidRDefault="00000000" w:rsidRPr="00000000" w14:paraId="00000002">
      <w:pP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3">
      <w:pPr>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Září 2022 – R</w:t>
      </w:r>
      <w:r w:rsidDel="00000000" w:rsidR="00000000" w:rsidRPr="00000000">
        <w:rPr>
          <w:rFonts w:ascii="Arial" w:cs="Arial" w:eastAsia="Arial" w:hAnsi="Arial"/>
          <w:b w:val="1"/>
          <w:color w:val="000000"/>
          <w:sz w:val="28"/>
          <w:szCs w:val="28"/>
          <w:rtl w:val="0"/>
        </w:rPr>
        <w:t xml:space="preserve">odiny samoživitelů patří mezi skupiny trvale ohrožené chudobou a dnešní složitá doba a růst životních nákladů tomu bohužel přispívají. Proto se Rohlik.cz rozhodl věnovat kredity organizaci Nadační fond Šatník. Každý zákazník má možnost své kredity z reklamací a zpožděných nákupů věnovat právě rodičům samoživitelům, kterým Šatník pomáhá.</w:t>
      </w:r>
    </w:p>
    <w:p w:rsidR="00000000" w:rsidDel="00000000" w:rsidP="00000000" w:rsidRDefault="00000000" w:rsidRPr="00000000" w14:paraId="00000004">
      <w:pPr>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i w:val="1"/>
          <w:color w:val="000000"/>
          <w:highlight w:val="white"/>
        </w:rPr>
      </w:pPr>
      <w:r w:rsidDel="00000000" w:rsidR="00000000" w:rsidRPr="00000000">
        <w:rPr>
          <w:rFonts w:ascii="Arial" w:cs="Arial" w:eastAsia="Arial" w:hAnsi="Arial"/>
          <w:color w:val="000000"/>
          <w:highlight w:val="white"/>
          <w:rtl w:val="0"/>
        </w:rPr>
        <w:t xml:space="preserve">Nora Fridrichová, zakladatelka Šatníku říká: </w:t>
      </w:r>
      <w:r w:rsidDel="00000000" w:rsidR="00000000" w:rsidRPr="00000000">
        <w:rPr>
          <w:rFonts w:ascii="Arial" w:cs="Arial" w:eastAsia="Arial" w:hAnsi="Arial"/>
          <w:i w:val="1"/>
          <w:color w:val="000000"/>
          <w:highlight w:val="white"/>
          <w:rtl w:val="0"/>
        </w:rPr>
        <w:t xml:space="preserve">“Samoživitelé, kteří chodí k nám do Šatníku, díky těmto nákupům dopřávají svým dětem extra porce ovoce a zeleniny. Hodně populární jsou i celá kuřata, šunky a mléčné výrobky. A nejeden rodič teď do nákupu přihodil i školní pomůcky. Šatník Praha za tuto možnost moc děkuje.”</w:t>
      </w:r>
    </w:p>
    <w:p w:rsidR="00000000" w:rsidDel="00000000" w:rsidP="00000000" w:rsidRDefault="00000000" w:rsidRPr="00000000" w14:paraId="00000006">
      <w:pPr>
        <w:spacing w:line="276" w:lineRule="auto"/>
        <w:rPr>
          <w:rFonts w:ascii="Arial" w:cs="Arial" w:eastAsia="Arial" w:hAnsi="Arial"/>
          <w:i w:val="1"/>
          <w:color w:val="000000"/>
          <w:highlight w:val="white"/>
        </w:rPr>
      </w:pP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i w:val="1"/>
          <w:color w:val="000000"/>
          <w:highlight w:val="white"/>
        </w:rPr>
      </w:pPr>
      <w:r w:rsidDel="00000000" w:rsidR="00000000" w:rsidRPr="00000000">
        <w:rPr>
          <w:rFonts w:ascii="Arial" w:cs="Arial" w:eastAsia="Arial" w:hAnsi="Arial"/>
          <w:color w:val="000000"/>
          <w:highlight w:val="white"/>
          <w:rtl w:val="0"/>
        </w:rPr>
        <w:t xml:space="preserve">Každý zákazník, který na Rohlik.cz získá kredity za reklamované zboží nebo zpožděný nákup, má na výběr. Buď je využije na platbu při dalším nákupu nebo je daruje právě Nadačnímu fondu Šatník. Lutfia Volfová, tisková mluvčí Rohlik.cz dodává: </w:t>
      </w:r>
      <w:r w:rsidDel="00000000" w:rsidR="00000000" w:rsidRPr="00000000">
        <w:rPr>
          <w:rFonts w:ascii="Arial" w:cs="Arial" w:eastAsia="Arial" w:hAnsi="Arial"/>
          <w:i w:val="1"/>
          <w:color w:val="000000"/>
          <w:highlight w:val="white"/>
          <w:rtl w:val="0"/>
        </w:rPr>
        <w:t xml:space="preserve">“Máme úžasné zákazníky, kteří už v minulosti dokázali, že chtějí pomáhat spolu s námi. Proto věříme, že v následujících týdnech vybereme spoustu kreditů na pomoc rodičům samoživitelům.”</w:t>
      </w:r>
    </w:p>
    <w:p w:rsidR="00000000" w:rsidDel="00000000" w:rsidP="00000000" w:rsidRDefault="00000000" w:rsidRPr="00000000" w14:paraId="00000008">
      <w:pPr>
        <w:spacing w:line="276" w:lineRule="auto"/>
        <w:rPr>
          <w:rFonts w:ascii="Arial" w:cs="Arial" w:eastAsia="Arial" w:hAnsi="Arial"/>
          <w:i w:val="1"/>
          <w:color w:val="000000"/>
          <w:highlight w:val="white"/>
        </w:rPr>
      </w:pP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b w:val="1"/>
          <w:color w:val="000000"/>
          <w:highlight w:val="white"/>
        </w:rPr>
      </w:pPr>
      <w:r w:rsidDel="00000000" w:rsidR="00000000" w:rsidRPr="00000000">
        <w:rPr>
          <w:rFonts w:ascii="Arial" w:cs="Arial" w:eastAsia="Arial" w:hAnsi="Arial"/>
          <w:b w:val="1"/>
          <w:color w:val="000000"/>
          <w:highlight w:val="white"/>
          <w:rtl w:val="0"/>
        </w:rPr>
        <w:t xml:space="preserve">Základní potraviny s garancí ceny</w:t>
      </w:r>
    </w:p>
    <w:p w:rsidR="00000000" w:rsidDel="00000000" w:rsidP="00000000" w:rsidRDefault="00000000" w:rsidRPr="00000000" w14:paraId="0000000A">
      <w:pPr>
        <w:jc w:val="both"/>
        <w:rPr>
          <w:rFonts w:ascii="Arial" w:cs="Arial" w:eastAsia="Arial" w:hAnsi="Arial"/>
          <w:b w:val="1"/>
          <w:color w:val="000000"/>
          <w:sz w:val="28"/>
          <w:szCs w:val="28"/>
        </w:rPr>
      </w:pPr>
      <w:r w:rsidDel="00000000" w:rsidR="00000000" w:rsidRPr="00000000">
        <w:rPr>
          <w:rFonts w:ascii="Arial" w:cs="Arial" w:eastAsia="Arial" w:hAnsi="Arial"/>
          <w:color w:val="000000"/>
          <w:highlight w:val="white"/>
          <w:rtl w:val="0"/>
        </w:rPr>
        <w:t xml:space="preserve">Rohlík na dramatické zdražování také reaguje okamžitým zastropováním cen u základních potravin. Minimálně do Velikonoc bude garantovat výhodnou cenu u másla, oleje, mouky, pečiva, mléčných výrobků, vajec, šunky a toaletního papíru. Rozdíl oproti aktuální prodejní ceně obdrží zákazník ve formě kreditu na další nákup. Ušetřené peníze tak může použít u Rohlíku na nákup jiného zboží. Je to jeden z dalších způsobů, jak pomoci českým spotřebitelům v době raketového růstu cen. </w:t>
      </w:r>
      <w:r w:rsidDel="00000000" w:rsidR="00000000" w:rsidRPr="00000000">
        <w:rPr>
          <w:rFonts w:ascii="Arial" w:cs="Arial" w:eastAsia="Arial" w:hAnsi="Arial"/>
          <w:b w:val="1"/>
          <w:color w:val="000000"/>
          <w:sz w:val="26"/>
          <w:szCs w:val="26"/>
          <w:rtl w:val="0"/>
        </w:rPr>
        <w:t xml:space="preserve"> </w:t>
      </w: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i w:val="1"/>
          <w:color w:val="000000"/>
          <w:highlight w:val="white"/>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1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sectPr>
      <w:headerReference r:id="rId7" w:type="default"/>
      <w:footerReference r:id="rId8"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-36190</wp:posOffset>
          </wp:positionH>
          <wp:positionV relativeFrom="paragraph">
            <wp:posOffset>-180970</wp:posOffset>
          </wp:positionV>
          <wp:extent cx="1737360" cy="951230"/>
          <wp:effectExtent b="0" l="0" r="0" t="0"/>
          <wp:wrapSquare wrapText="bothSides" distB="0" distT="0" distL="114300" distR="114300"/>
          <wp:docPr descr="Macintosh HD:Users:janina:Desktop:Snímek obrazovky 2018-06-21 v 9.08.59.png" id="6"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4">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15">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6">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28i2kAe9WvWuS36KPEfufvJnw==">AMUW2mVyPp+z4P81OS37ldN9ISY3Eu7AvuUW9alis2r3+iQUUFfePnSspiQ9kco3ODmBCfjoW3l1eOpJuje0VrRIAAcL8GSqlfEqT/Zvm2K3cnhIWWegB68fxFuzPbqdKAhTooUgw7wZE09NH7K2/bsjVAXYU/RG6DQBlNg5CPyCJAxdukQE/f/74OgjTHXCiXxwmkUgXr/LAiUj2R8LB1gaE7NbHvHDmA==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