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27D8" w14:textId="77777777" w:rsidR="004902F4" w:rsidRDefault="004902F4" w:rsidP="004902F4">
      <w:pPr>
        <w:spacing w:line="276" w:lineRule="auto"/>
        <w:rPr>
          <w:rFonts w:ascii="Aptos" w:hAnsi="Aptos" w:cs="Arial"/>
          <w:sz w:val="22"/>
          <w:szCs w:val="22"/>
        </w:rPr>
      </w:pPr>
      <w:r w:rsidRPr="00E848E0">
        <w:rPr>
          <w:rFonts w:ascii="Aptos" w:hAnsi="Aptos" w:cs="Arial"/>
          <w:i/>
          <w:iCs/>
          <w:sz w:val="22"/>
          <w:szCs w:val="22"/>
        </w:rPr>
        <w:t>Informacja prasowa</w:t>
      </w:r>
      <w:r>
        <w:rPr>
          <w:rFonts w:ascii="Aptos" w:hAnsi="Aptos" w:cs="Arial"/>
          <w:sz w:val="22"/>
          <w:szCs w:val="22"/>
        </w:rPr>
        <w:t xml:space="preserve">                                                                                                                        16 kwietnia 2026 r. </w:t>
      </w:r>
    </w:p>
    <w:p w14:paraId="10FD54DA" w14:textId="77777777" w:rsidR="004902F4" w:rsidRPr="00E848E0" w:rsidRDefault="004902F4" w:rsidP="004902F4">
      <w:pPr>
        <w:spacing w:line="276" w:lineRule="auto"/>
        <w:jc w:val="center"/>
        <w:rPr>
          <w:rFonts w:ascii="Aptos" w:hAnsi="Aptos" w:cs="Arial"/>
          <w:b/>
          <w:bCs/>
          <w:sz w:val="22"/>
          <w:szCs w:val="22"/>
        </w:rPr>
      </w:pPr>
    </w:p>
    <w:p w14:paraId="61ACD854" w14:textId="77777777" w:rsidR="004902F4" w:rsidRDefault="004902F4" w:rsidP="004902F4">
      <w:pPr>
        <w:spacing w:line="276" w:lineRule="auto"/>
        <w:jc w:val="center"/>
        <w:rPr>
          <w:rFonts w:ascii="Aptos" w:hAnsi="Aptos" w:cs="Arial"/>
          <w:b/>
          <w:bCs/>
          <w:sz w:val="28"/>
          <w:szCs w:val="28"/>
        </w:rPr>
      </w:pPr>
      <w:r>
        <w:rPr>
          <w:rFonts w:ascii="Aptos" w:hAnsi="Aptos" w:cs="Arial"/>
          <w:b/>
          <w:bCs/>
          <w:sz w:val="28"/>
          <w:szCs w:val="28"/>
        </w:rPr>
        <w:t xml:space="preserve">2026 rokiem decyzji dla polskiego rynku </w:t>
      </w:r>
      <w:proofErr w:type="spellStart"/>
      <w:r>
        <w:rPr>
          <w:rFonts w:ascii="Aptos" w:hAnsi="Aptos" w:cs="Arial"/>
          <w:b/>
          <w:bCs/>
          <w:sz w:val="28"/>
          <w:szCs w:val="28"/>
        </w:rPr>
        <w:t>elektromobilności</w:t>
      </w:r>
      <w:proofErr w:type="spellEnd"/>
    </w:p>
    <w:p w14:paraId="3EF40401" w14:textId="77777777" w:rsidR="004902F4" w:rsidRDefault="004902F4" w:rsidP="004902F4">
      <w:pPr>
        <w:spacing w:line="276" w:lineRule="auto"/>
        <w:jc w:val="both"/>
        <w:rPr>
          <w:rFonts w:ascii="Aptos" w:hAnsi="Aptos" w:cs="Arial"/>
          <w:b/>
          <w:bCs/>
          <w:sz w:val="22"/>
          <w:szCs w:val="22"/>
        </w:rPr>
      </w:pPr>
    </w:p>
    <w:p w14:paraId="324A6D03" w14:textId="77777777" w:rsidR="004902F4" w:rsidRDefault="004902F4" w:rsidP="004902F4">
      <w:pPr>
        <w:pStyle w:val="Akapitzlist"/>
        <w:numPr>
          <w:ilvl w:val="0"/>
          <w:numId w:val="1"/>
        </w:numPr>
        <w:spacing w:line="276" w:lineRule="auto"/>
        <w:jc w:val="both"/>
        <w:rPr>
          <w:rFonts w:ascii="Aptos" w:hAnsi="Aptos" w:cs="Arial"/>
          <w:b/>
          <w:bCs/>
          <w:sz w:val="22"/>
          <w:szCs w:val="22"/>
        </w:rPr>
      </w:pPr>
      <w:r w:rsidRPr="004D6D5A">
        <w:rPr>
          <w:rFonts w:ascii="Aptos" w:hAnsi="Aptos" w:cs="Arial"/>
          <w:b/>
          <w:bCs/>
          <w:sz w:val="22"/>
          <w:szCs w:val="22"/>
        </w:rPr>
        <w:t xml:space="preserve">Jak na rozwój sektora </w:t>
      </w:r>
      <w:r>
        <w:rPr>
          <w:rFonts w:ascii="Aptos" w:hAnsi="Aptos" w:cs="Arial"/>
          <w:b/>
          <w:bCs/>
          <w:sz w:val="22"/>
          <w:szCs w:val="22"/>
        </w:rPr>
        <w:t>e-</w:t>
      </w:r>
      <w:proofErr w:type="spellStart"/>
      <w:r>
        <w:rPr>
          <w:rFonts w:ascii="Aptos" w:hAnsi="Aptos" w:cs="Arial"/>
          <w:b/>
          <w:bCs/>
          <w:sz w:val="22"/>
          <w:szCs w:val="22"/>
        </w:rPr>
        <w:t>mobility</w:t>
      </w:r>
      <w:proofErr w:type="spellEnd"/>
      <w:r>
        <w:rPr>
          <w:rFonts w:ascii="Aptos" w:hAnsi="Aptos" w:cs="Arial"/>
          <w:b/>
          <w:bCs/>
          <w:sz w:val="22"/>
          <w:szCs w:val="22"/>
        </w:rPr>
        <w:t xml:space="preserve"> </w:t>
      </w:r>
      <w:r w:rsidRPr="004D6D5A">
        <w:rPr>
          <w:rFonts w:ascii="Aptos" w:hAnsi="Aptos" w:cs="Arial"/>
          <w:b/>
          <w:bCs/>
          <w:sz w:val="22"/>
          <w:szCs w:val="22"/>
        </w:rPr>
        <w:t xml:space="preserve">w Polsce wpłynie koniec dopłat do osobowych i dostawczych „elektryków” oraz planowane złagodzenie obowiązków redukcji emisji w </w:t>
      </w:r>
      <w:r>
        <w:rPr>
          <w:rFonts w:ascii="Aptos" w:hAnsi="Aptos" w:cs="Arial"/>
          <w:b/>
          <w:bCs/>
          <w:sz w:val="22"/>
          <w:szCs w:val="22"/>
        </w:rPr>
        <w:t>UE</w:t>
      </w:r>
      <w:r w:rsidRPr="004D6D5A">
        <w:rPr>
          <w:rFonts w:ascii="Aptos" w:hAnsi="Aptos" w:cs="Arial"/>
          <w:b/>
          <w:bCs/>
          <w:sz w:val="22"/>
          <w:szCs w:val="22"/>
        </w:rPr>
        <w:t xml:space="preserve">? </w:t>
      </w:r>
    </w:p>
    <w:p w14:paraId="6C44CCFA" w14:textId="77777777" w:rsidR="004902F4" w:rsidRDefault="004902F4" w:rsidP="004902F4">
      <w:pPr>
        <w:pStyle w:val="Akapitzlist"/>
        <w:numPr>
          <w:ilvl w:val="0"/>
          <w:numId w:val="1"/>
        </w:numPr>
        <w:spacing w:line="276" w:lineRule="auto"/>
        <w:jc w:val="both"/>
        <w:rPr>
          <w:rFonts w:ascii="Aptos" w:hAnsi="Aptos" w:cs="Arial"/>
          <w:b/>
          <w:bCs/>
          <w:sz w:val="22"/>
          <w:szCs w:val="22"/>
        </w:rPr>
      </w:pPr>
      <w:r w:rsidRPr="004D6D5A">
        <w:rPr>
          <w:rFonts w:ascii="Aptos" w:hAnsi="Aptos" w:cs="Arial"/>
          <w:b/>
          <w:bCs/>
          <w:sz w:val="22"/>
          <w:szCs w:val="22"/>
        </w:rPr>
        <w:t>Czy ograniczony popyt na usługi ładowania oraz niskie zainteresowanie programem wsparcia elektrycznych ciężarówek zahamują tempo rozbudowy sieci ładowarek?</w:t>
      </w:r>
    </w:p>
    <w:p w14:paraId="26787833" w14:textId="77777777" w:rsidR="004902F4" w:rsidRDefault="004902F4" w:rsidP="004902F4">
      <w:pPr>
        <w:pStyle w:val="Akapitzlist"/>
        <w:numPr>
          <w:ilvl w:val="0"/>
          <w:numId w:val="1"/>
        </w:numPr>
        <w:spacing w:line="276" w:lineRule="auto"/>
        <w:jc w:val="both"/>
        <w:rPr>
          <w:rFonts w:ascii="Aptos" w:hAnsi="Aptos" w:cs="Arial"/>
          <w:b/>
          <w:bCs/>
          <w:sz w:val="22"/>
          <w:szCs w:val="22"/>
        </w:rPr>
      </w:pPr>
      <w:r w:rsidRPr="004D6D5A">
        <w:rPr>
          <w:rFonts w:ascii="Aptos" w:hAnsi="Aptos" w:cs="Arial"/>
          <w:b/>
          <w:bCs/>
          <w:sz w:val="22"/>
          <w:szCs w:val="22"/>
        </w:rPr>
        <w:t xml:space="preserve">Po ubiegłorocznych, rekordowych wzrostach polski rynek </w:t>
      </w:r>
      <w:proofErr w:type="spellStart"/>
      <w:r w:rsidRPr="004D6D5A">
        <w:rPr>
          <w:rFonts w:ascii="Aptos" w:hAnsi="Aptos" w:cs="Arial"/>
          <w:b/>
          <w:bCs/>
          <w:sz w:val="22"/>
          <w:szCs w:val="22"/>
        </w:rPr>
        <w:t>elektromobilności</w:t>
      </w:r>
      <w:proofErr w:type="spellEnd"/>
      <w:r w:rsidRPr="004D6D5A">
        <w:rPr>
          <w:rFonts w:ascii="Aptos" w:hAnsi="Aptos" w:cs="Arial"/>
          <w:b/>
          <w:bCs/>
          <w:sz w:val="22"/>
          <w:szCs w:val="22"/>
        </w:rPr>
        <w:t xml:space="preserve"> wchodzi w okres niepewności. Wiele firm staje przed koniecznością podjęcia trudnych, strategicznych decyzji inwestycyjnych. </w:t>
      </w:r>
    </w:p>
    <w:p w14:paraId="76A80D39" w14:textId="77777777" w:rsidR="004902F4" w:rsidRPr="004D6D5A" w:rsidRDefault="004902F4" w:rsidP="004902F4">
      <w:pPr>
        <w:pStyle w:val="Akapitzlist"/>
        <w:numPr>
          <w:ilvl w:val="0"/>
          <w:numId w:val="1"/>
        </w:numPr>
        <w:spacing w:line="276" w:lineRule="auto"/>
        <w:jc w:val="both"/>
        <w:rPr>
          <w:rFonts w:ascii="Aptos" w:hAnsi="Aptos" w:cs="Arial"/>
          <w:b/>
          <w:bCs/>
          <w:sz w:val="22"/>
          <w:szCs w:val="22"/>
        </w:rPr>
      </w:pPr>
      <w:r w:rsidRPr="004D6D5A">
        <w:rPr>
          <w:rFonts w:ascii="Aptos" w:hAnsi="Aptos" w:cs="Arial"/>
          <w:b/>
          <w:bCs/>
          <w:sz w:val="22"/>
          <w:szCs w:val="22"/>
        </w:rPr>
        <w:t xml:space="preserve">Na kluczowe pytania dotyczące przyszłości zrównoważonego transportu w Polsce odpowiada najnowsza edycja raportu F5A </w:t>
      </w:r>
      <w:r>
        <w:rPr>
          <w:rFonts w:ascii="Aptos" w:hAnsi="Aptos" w:cs="Arial"/>
          <w:b/>
          <w:bCs/>
          <w:sz w:val="22"/>
          <w:szCs w:val="22"/>
        </w:rPr>
        <w:t xml:space="preserve">oraz </w:t>
      </w:r>
      <w:r w:rsidRPr="004D6D5A">
        <w:rPr>
          <w:rFonts w:ascii="Aptos" w:hAnsi="Aptos" w:cs="Arial"/>
          <w:b/>
          <w:bCs/>
          <w:sz w:val="22"/>
          <w:szCs w:val="22"/>
        </w:rPr>
        <w:t>PSNM</w:t>
      </w:r>
      <w:r>
        <w:rPr>
          <w:rFonts w:ascii="Aptos" w:hAnsi="Aptos" w:cs="Arial"/>
          <w:b/>
          <w:bCs/>
          <w:sz w:val="22"/>
          <w:szCs w:val="22"/>
        </w:rPr>
        <w:t xml:space="preserve"> </w:t>
      </w:r>
      <w:r w:rsidRPr="004D6D5A">
        <w:rPr>
          <w:rFonts w:ascii="Aptos" w:hAnsi="Aptos" w:cs="Arial"/>
          <w:b/>
          <w:bCs/>
          <w:sz w:val="22"/>
          <w:szCs w:val="22"/>
        </w:rPr>
        <w:t>„</w:t>
      </w:r>
      <w:proofErr w:type="spellStart"/>
      <w:r w:rsidRPr="004D6D5A">
        <w:rPr>
          <w:rFonts w:ascii="Aptos" w:hAnsi="Aptos" w:cs="Arial"/>
          <w:b/>
          <w:bCs/>
          <w:sz w:val="22"/>
          <w:szCs w:val="22"/>
        </w:rPr>
        <w:t>Polish</w:t>
      </w:r>
      <w:proofErr w:type="spellEnd"/>
      <w:r w:rsidRPr="004D6D5A">
        <w:rPr>
          <w:rFonts w:ascii="Aptos" w:hAnsi="Aptos" w:cs="Arial"/>
          <w:b/>
          <w:bCs/>
          <w:sz w:val="22"/>
          <w:szCs w:val="22"/>
        </w:rPr>
        <w:t xml:space="preserve"> EV Outlook”. </w:t>
      </w:r>
    </w:p>
    <w:p w14:paraId="2810359A" w14:textId="77777777" w:rsidR="004902F4" w:rsidRDefault="004902F4" w:rsidP="004902F4">
      <w:pPr>
        <w:spacing w:line="276" w:lineRule="auto"/>
        <w:jc w:val="both"/>
        <w:rPr>
          <w:rFonts w:ascii="Aptos" w:hAnsi="Aptos" w:cs="Arial"/>
          <w:b/>
          <w:bCs/>
          <w:sz w:val="22"/>
          <w:szCs w:val="22"/>
        </w:rPr>
      </w:pPr>
    </w:p>
    <w:p w14:paraId="10E50C05" w14:textId="659A9A65" w:rsidR="004902F4" w:rsidRDefault="004902F4" w:rsidP="004902F4">
      <w:pPr>
        <w:spacing w:line="276" w:lineRule="auto"/>
        <w:jc w:val="both"/>
        <w:rPr>
          <w:rFonts w:ascii="Aptos" w:hAnsi="Aptos" w:cs="Arial"/>
          <w:sz w:val="22"/>
          <w:szCs w:val="22"/>
        </w:rPr>
      </w:pPr>
      <w:r w:rsidRPr="00EC2A08">
        <w:rPr>
          <w:rFonts w:ascii="Aptos" w:hAnsi="Aptos" w:cs="Arial"/>
          <w:sz w:val="22"/>
          <w:szCs w:val="22"/>
        </w:rPr>
        <w:t>„</w:t>
      </w:r>
      <w:proofErr w:type="spellStart"/>
      <w:r w:rsidRPr="00EC2A08">
        <w:rPr>
          <w:rFonts w:ascii="Aptos" w:hAnsi="Aptos" w:cs="Arial"/>
          <w:sz w:val="22"/>
          <w:szCs w:val="22"/>
        </w:rPr>
        <w:t>Polish</w:t>
      </w:r>
      <w:proofErr w:type="spellEnd"/>
      <w:r w:rsidRPr="00EC2A08">
        <w:rPr>
          <w:rFonts w:ascii="Aptos" w:hAnsi="Aptos" w:cs="Arial"/>
          <w:sz w:val="22"/>
          <w:szCs w:val="22"/>
        </w:rPr>
        <w:t xml:space="preserve"> EV Outlook 2026” to już 11. edycja najbardziej kompleksowej analizy sektora zeroemisyjnego transportu w Polsce. Report zawiera niedostępny w żadnym innym źródle zbiór danych i statystyk, jak również długoterminowe prognozy rozwoju polskiego rynku </w:t>
      </w:r>
      <w:proofErr w:type="spellStart"/>
      <w:r w:rsidRPr="00EC2A08">
        <w:rPr>
          <w:rFonts w:ascii="Aptos" w:hAnsi="Aptos" w:cs="Arial"/>
          <w:sz w:val="22"/>
          <w:szCs w:val="22"/>
        </w:rPr>
        <w:t>elektromobilności</w:t>
      </w:r>
      <w:proofErr w:type="spellEnd"/>
      <w:r w:rsidRPr="00EC2A08">
        <w:rPr>
          <w:rFonts w:ascii="Aptos" w:hAnsi="Aptos" w:cs="Arial"/>
          <w:sz w:val="22"/>
          <w:szCs w:val="22"/>
        </w:rPr>
        <w:t>.</w:t>
      </w:r>
      <w:r>
        <w:rPr>
          <w:rFonts w:ascii="Aptos" w:hAnsi="Aptos" w:cs="Arial"/>
          <w:sz w:val="22"/>
          <w:szCs w:val="22"/>
        </w:rPr>
        <w:t xml:space="preserve"> </w:t>
      </w:r>
      <w:r w:rsidR="004C6001">
        <w:rPr>
          <w:rFonts w:ascii="Aptos" w:hAnsi="Aptos" w:cs="Arial"/>
          <w:sz w:val="22"/>
          <w:szCs w:val="22"/>
        </w:rPr>
        <w:t xml:space="preserve">Osoby zainteresowane </w:t>
      </w:r>
      <w:r>
        <w:rPr>
          <w:rFonts w:ascii="Aptos" w:hAnsi="Aptos" w:cs="Arial"/>
          <w:sz w:val="22"/>
          <w:szCs w:val="22"/>
        </w:rPr>
        <w:t xml:space="preserve">pełnym dostępem do raportu mogą skorzystać z bezpłatnej wersji demo: </w:t>
      </w:r>
      <w:r w:rsidRPr="004902F4">
        <w:rPr>
          <w:rFonts w:ascii="Aptos" w:hAnsi="Aptos" w:cs="Arial"/>
          <w:sz w:val="22"/>
          <w:szCs w:val="22"/>
        </w:rPr>
        <w:t>https://polishevoutlook.pl/</w:t>
      </w:r>
    </w:p>
    <w:p w14:paraId="3E0AE2B3" w14:textId="77777777" w:rsidR="004902F4" w:rsidRDefault="004902F4" w:rsidP="004902F4">
      <w:pPr>
        <w:spacing w:line="276" w:lineRule="auto"/>
        <w:jc w:val="both"/>
        <w:rPr>
          <w:rFonts w:ascii="Aptos" w:hAnsi="Aptos" w:cs="Arial"/>
          <w:sz w:val="22"/>
          <w:szCs w:val="22"/>
        </w:rPr>
      </w:pPr>
    </w:p>
    <w:p w14:paraId="42A7C06C" w14:textId="77777777" w:rsidR="004902F4" w:rsidRPr="007A5D55" w:rsidRDefault="004902F4" w:rsidP="004902F4">
      <w:pPr>
        <w:spacing w:line="276" w:lineRule="auto"/>
        <w:jc w:val="both"/>
        <w:rPr>
          <w:rFonts w:ascii="Aptos" w:hAnsi="Aptos" w:cs="Arial"/>
          <w:sz w:val="22"/>
          <w:szCs w:val="22"/>
        </w:rPr>
      </w:pPr>
      <w:r>
        <w:rPr>
          <w:rFonts w:ascii="Aptos" w:hAnsi="Aptos" w:cs="Arial"/>
          <w:sz w:val="22"/>
          <w:szCs w:val="22"/>
        </w:rPr>
        <w:t>–</w:t>
      </w:r>
      <w:r w:rsidRPr="007A5D55">
        <w:rPr>
          <w:rFonts w:ascii="Aptos" w:hAnsi="Aptos" w:cs="Arial"/>
          <w:sz w:val="22"/>
          <w:szCs w:val="22"/>
        </w:rPr>
        <w:t xml:space="preserve"> „</w:t>
      </w:r>
      <w:proofErr w:type="spellStart"/>
      <w:r w:rsidRPr="004A4EB0">
        <w:rPr>
          <w:rFonts w:ascii="Aptos" w:hAnsi="Aptos" w:cs="Arial"/>
          <w:i/>
          <w:iCs/>
          <w:sz w:val="22"/>
          <w:szCs w:val="22"/>
        </w:rPr>
        <w:t>Polish</w:t>
      </w:r>
      <w:proofErr w:type="spellEnd"/>
      <w:r w:rsidRPr="004A4EB0">
        <w:rPr>
          <w:rFonts w:ascii="Aptos" w:hAnsi="Aptos" w:cs="Arial"/>
          <w:i/>
          <w:iCs/>
          <w:sz w:val="22"/>
          <w:szCs w:val="22"/>
        </w:rPr>
        <w:t xml:space="preserve"> EV Outlook” ma jeden</w:t>
      </w:r>
      <w:r>
        <w:rPr>
          <w:rFonts w:ascii="Aptos" w:hAnsi="Aptos" w:cs="Arial"/>
          <w:i/>
          <w:iCs/>
          <w:sz w:val="22"/>
          <w:szCs w:val="22"/>
        </w:rPr>
        <w:t xml:space="preserve">, podstawowy cel. Jest nim wsparcie </w:t>
      </w:r>
      <w:r w:rsidRPr="004A4EB0">
        <w:rPr>
          <w:rFonts w:ascii="Aptos" w:hAnsi="Aptos" w:cs="Arial"/>
          <w:i/>
          <w:iCs/>
          <w:sz w:val="22"/>
          <w:szCs w:val="22"/>
        </w:rPr>
        <w:t>przedsiębiorstw z sektora e-</w:t>
      </w:r>
      <w:proofErr w:type="spellStart"/>
      <w:r w:rsidRPr="004A4EB0">
        <w:rPr>
          <w:rFonts w:ascii="Aptos" w:hAnsi="Aptos" w:cs="Arial"/>
          <w:i/>
          <w:iCs/>
          <w:sz w:val="22"/>
          <w:szCs w:val="22"/>
        </w:rPr>
        <w:t>mobility</w:t>
      </w:r>
      <w:proofErr w:type="spellEnd"/>
      <w:r w:rsidRPr="004A4EB0">
        <w:rPr>
          <w:rFonts w:ascii="Aptos" w:hAnsi="Aptos" w:cs="Arial"/>
          <w:i/>
          <w:iCs/>
          <w:sz w:val="22"/>
          <w:szCs w:val="22"/>
        </w:rPr>
        <w:t xml:space="preserve"> </w:t>
      </w:r>
      <w:r>
        <w:rPr>
          <w:rFonts w:ascii="Aptos" w:hAnsi="Aptos" w:cs="Arial"/>
          <w:i/>
          <w:iCs/>
          <w:sz w:val="22"/>
          <w:szCs w:val="22"/>
        </w:rPr>
        <w:t>oraz firm</w:t>
      </w:r>
      <w:r w:rsidRPr="004A4EB0">
        <w:rPr>
          <w:rFonts w:ascii="Aptos" w:hAnsi="Aptos" w:cs="Arial"/>
          <w:i/>
          <w:iCs/>
          <w:sz w:val="22"/>
          <w:szCs w:val="22"/>
        </w:rPr>
        <w:t xml:space="preserve">, które dopiero na ten rynek wchodzą w podejmowaniu decyzji w oparciu o twarde, zweryfikowane dane. Aktualnie jest to szczególnie </w:t>
      </w:r>
      <w:r>
        <w:rPr>
          <w:rFonts w:ascii="Aptos" w:hAnsi="Aptos" w:cs="Arial"/>
          <w:i/>
          <w:iCs/>
          <w:sz w:val="22"/>
          <w:szCs w:val="22"/>
        </w:rPr>
        <w:t>istotne</w:t>
      </w:r>
      <w:r w:rsidRPr="004A4EB0">
        <w:rPr>
          <w:rFonts w:ascii="Aptos" w:hAnsi="Aptos" w:cs="Arial"/>
          <w:i/>
          <w:iCs/>
          <w:sz w:val="22"/>
          <w:szCs w:val="22"/>
        </w:rPr>
        <w:t>. Po rekordowym roku 2025, gdy zarejestrowano ponad 43 tys. samochodów elektrycznych i oddano do użytku ponad 3 tys. punktów ładowania, rynek wchodzi w okres dużych zmian i niepewności. Jeden z kluczowych pow</w:t>
      </w:r>
      <w:r>
        <w:rPr>
          <w:rFonts w:ascii="Aptos" w:hAnsi="Aptos" w:cs="Arial"/>
          <w:i/>
          <w:iCs/>
          <w:sz w:val="22"/>
          <w:szCs w:val="22"/>
        </w:rPr>
        <w:t>odów</w:t>
      </w:r>
      <w:r w:rsidRPr="004A4EB0">
        <w:rPr>
          <w:rFonts w:ascii="Aptos" w:hAnsi="Aptos" w:cs="Arial"/>
          <w:i/>
          <w:iCs/>
          <w:sz w:val="22"/>
          <w:szCs w:val="22"/>
        </w:rPr>
        <w:t xml:space="preserve"> to oczywiście zakończenie dopłat do zakupu osobowych i dostawczych BEV, które były dostępne w Polsce (z krótką przerwą) niemal 4 lata</w:t>
      </w:r>
      <w:r>
        <w:rPr>
          <w:rFonts w:ascii="Aptos" w:hAnsi="Aptos" w:cs="Arial"/>
          <w:i/>
          <w:iCs/>
          <w:sz w:val="22"/>
          <w:szCs w:val="22"/>
        </w:rPr>
        <w:t>.</w:t>
      </w:r>
      <w:r w:rsidRPr="004A4EB0">
        <w:rPr>
          <w:rFonts w:ascii="Aptos" w:hAnsi="Aptos" w:cs="Arial"/>
          <w:i/>
          <w:iCs/>
          <w:sz w:val="22"/>
          <w:szCs w:val="22"/>
        </w:rPr>
        <w:t xml:space="preserve"> </w:t>
      </w:r>
      <w:r>
        <w:rPr>
          <w:rFonts w:ascii="Aptos" w:hAnsi="Aptos" w:cs="Arial"/>
          <w:i/>
          <w:iCs/>
          <w:sz w:val="22"/>
          <w:szCs w:val="22"/>
        </w:rPr>
        <w:t>D</w:t>
      </w:r>
      <w:r w:rsidRPr="004A4EB0">
        <w:rPr>
          <w:rFonts w:ascii="Aptos" w:hAnsi="Aptos" w:cs="Arial"/>
          <w:i/>
          <w:iCs/>
          <w:sz w:val="22"/>
          <w:szCs w:val="22"/>
        </w:rPr>
        <w:t>uże zmiany czekają nas również na poziomie regulacyjnym: Komisja Europejska postuluje złagodzenie celów wynikających z rozporządzenia 2019/631, w tym celu wyznaczonego na rok 2035: z obecnie planowanego obniżenia emisji o 100% do 90%</w:t>
      </w:r>
      <w:r>
        <w:rPr>
          <w:rFonts w:ascii="Aptos" w:hAnsi="Aptos" w:cs="Arial"/>
          <w:sz w:val="22"/>
          <w:szCs w:val="22"/>
        </w:rPr>
        <w:t xml:space="preserve"> – mówi </w:t>
      </w:r>
      <w:r w:rsidRPr="004A4EB0">
        <w:rPr>
          <w:rFonts w:ascii="Aptos" w:hAnsi="Aptos" w:cs="Arial"/>
          <w:b/>
          <w:bCs/>
          <w:sz w:val="22"/>
          <w:szCs w:val="22"/>
        </w:rPr>
        <w:t>Aleksander Rajch</w:t>
      </w:r>
      <w:r>
        <w:rPr>
          <w:rFonts w:ascii="Aptos" w:hAnsi="Aptos" w:cs="Arial"/>
          <w:sz w:val="22"/>
          <w:szCs w:val="22"/>
        </w:rPr>
        <w:t xml:space="preserve">, członek zarządu PSNM. </w:t>
      </w:r>
    </w:p>
    <w:p w14:paraId="388DCF71" w14:textId="77777777" w:rsidR="004902F4" w:rsidRPr="007A5D55" w:rsidRDefault="004902F4" w:rsidP="004902F4">
      <w:pPr>
        <w:spacing w:line="276" w:lineRule="auto"/>
        <w:jc w:val="both"/>
        <w:rPr>
          <w:rFonts w:ascii="Aptos" w:hAnsi="Aptos" w:cs="Arial"/>
          <w:sz w:val="22"/>
          <w:szCs w:val="22"/>
        </w:rPr>
      </w:pPr>
    </w:p>
    <w:p w14:paraId="335C0495" w14:textId="77777777" w:rsidR="004902F4" w:rsidRPr="007A5D55" w:rsidRDefault="004902F4" w:rsidP="004902F4">
      <w:pPr>
        <w:spacing w:line="276" w:lineRule="auto"/>
        <w:jc w:val="both"/>
        <w:rPr>
          <w:rFonts w:ascii="Aptos" w:hAnsi="Aptos" w:cs="Arial"/>
          <w:sz w:val="22"/>
          <w:szCs w:val="22"/>
        </w:rPr>
      </w:pPr>
      <w:r>
        <w:rPr>
          <w:rFonts w:ascii="Aptos" w:hAnsi="Aptos" w:cs="Arial"/>
          <w:sz w:val="22"/>
          <w:szCs w:val="22"/>
        </w:rPr>
        <w:t>Niepewność rynkową pogłębiają również takie czynniki jak np. ograniczony popytu na usługi ładowania, wynikający z wciąż niewielkiej (ok. 137 tys. pojazdów) floty samochodów elektrycznych. Operatorzy, którzy w ubiegłych latach realizowali ambitne, warte setki milionów złotych inwestycje wciąż czekają, aż ich biznes zacznie się bilansować. Pod znakiem zapytania stoi również tempo rozwoju zeroemisyjnego transportu ciężkiego. Poważnym znakiem ostrzegawczym może być tu niskie tempo zainteresowania aktualnym programem wsparcia nabywców elektrycznych ciężarówek (łączna liczba złożonych do tej pory wniosków nie przekracza kilkudziesięciu). Opracowane na potrzeby „</w:t>
      </w:r>
      <w:proofErr w:type="spellStart"/>
      <w:r>
        <w:rPr>
          <w:rFonts w:ascii="Aptos" w:hAnsi="Aptos" w:cs="Arial"/>
          <w:sz w:val="22"/>
          <w:szCs w:val="22"/>
        </w:rPr>
        <w:t>Polish</w:t>
      </w:r>
      <w:proofErr w:type="spellEnd"/>
      <w:r>
        <w:rPr>
          <w:rFonts w:ascii="Aptos" w:hAnsi="Aptos" w:cs="Arial"/>
          <w:sz w:val="22"/>
          <w:szCs w:val="22"/>
        </w:rPr>
        <w:t xml:space="preserve"> EV Outlook”, wariantowe prognozy uwzględniają wszystkie te czynniki oraz wiele innych założeń rynkowych, ekonomicznych i regulacyjnych. Z raportu F5A oraz PSNM możemy się dowiedzieć, jak polski rynek </w:t>
      </w:r>
      <w:proofErr w:type="spellStart"/>
      <w:r>
        <w:rPr>
          <w:rFonts w:ascii="Aptos" w:hAnsi="Aptos" w:cs="Arial"/>
          <w:sz w:val="22"/>
          <w:szCs w:val="22"/>
        </w:rPr>
        <w:lastRenderedPageBreak/>
        <w:t>elektromobilności</w:t>
      </w:r>
      <w:proofErr w:type="spellEnd"/>
      <w:r>
        <w:rPr>
          <w:rFonts w:ascii="Aptos" w:hAnsi="Aptos" w:cs="Arial"/>
          <w:sz w:val="22"/>
          <w:szCs w:val="22"/>
        </w:rPr>
        <w:t xml:space="preserve"> będzie się rozwijał zarówno w najbliższych latach, jak też w kolejnej dekadzie, aż do roku 2040. </w:t>
      </w:r>
    </w:p>
    <w:p w14:paraId="6C289C7F" w14:textId="77777777" w:rsidR="004902F4" w:rsidRPr="007A5D55" w:rsidRDefault="004902F4" w:rsidP="004902F4">
      <w:pPr>
        <w:spacing w:line="276" w:lineRule="auto"/>
        <w:jc w:val="both"/>
        <w:rPr>
          <w:rFonts w:ascii="Aptos" w:hAnsi="Aptos" w:cs="Arial"/>
          <w:sz w:val="22"/>
          <w:szCs w:val="22"/>
        </w:rPr>
      </w:pPr>
    </w:p>
    <w:p w14:paraId="6D08A234" w14:textId="77777777" w:rsidR="004902F4" w:rsidRDefault="004902F4" w:rsidP="004902F4">
      <w:pPr>
        <w:spacing w:line="276" w:lineRule="auto"/>
        <w:jc w:val="both"/>
        <w:rPr>
          <w:rFonts w:ascii="Aptos" w:hAnsi="Aptos" w:cs="Arial"/>
          <w:sz w:val="22"/>
          <w:szCs w:val="22"/>
        </w:rPr>
      </w:pPr>
      <w:r>
        <w:rPr>
          <w:rFonts w:ascii="Aptos" w:hAnsi="Aptos" w:cs="Arial"/>
          <w:sz w:val="22"/>
          <w:szCs w:val="22"/>
        </w:rPr>
        <w:t xml:space="preserve">– </w:t>
      </w:r>
      <w:r w:rsidRPr="000A0E06">
        <w:rPr>
          <w:rFonts w:ascii="Aptos" w:hAnsi="Aptos" w:cs="Arial"/>
          <w:i/>
          <w:iCs/>
          <w:sz w:val="22"/>
          <w:szCs w:val="22"/>
        </w:rPr>
        <w:t>W „</w:t>
      </w:r>
      <w:proofErr w:type="spellStart"/>
      <w:r w:rsidRPr="000A0E06">
        <w:rPr>
          <w:rFonts w:ascii="Aptos" w:hAnsi="Aptos" w:cs="Arial"/>
          <w:i/>
          <w:iCs/>
          <w:sz w:val="22"/>
          <w:szCs w:val="22"/>
        </w:rPr>
        <w:t>Polish</w:t>
      </w:r>
      <w:proofErr w:type="spellEnd"/>
      <w:r w:rsidRPr="000A0E06">
        <w:rPr>
          <w:rFonts w:ascii="Aptos" w:hAnsi="Aptos" w:cs="Arial"/>
          <w:i/>
          <w:iCs/>
          <w:sz w:val="22"/>
          <w:szCs w:val="22"/>
        </w:rPr>
        <w:t xml:space="preserve"> EV Outlook” oszacowaliśmy m.in. jak na polski rynek osobowych i dostawczych samochodów elektrycznych może wpłynąć złagodzenie celów emisyjnych Unii Europejskiej i zmiana sposobu ich realizacji w latach 2030-2032. W praktyce, nowelizacja rozporządzenia (UE) 2019/631 doprowadzi do wycofania aktualnie planowanego końca rejestracji pojazdów z silnikami spalinowymi od 2035 r. Uwzględnienie tej zmiany poskutkowało znacznym obniżeniem prognozowanych wolumenów rejestracji względem poprzedniej edycji „</w:t>
      </w:r>
      <w:proofErr w:type="spellStart"/>
      <w:r w:rsidRPr="000A0E06">
        <w:rPr>
          <w:rFonts w:ascii="Aptos" w:hAnsi="Aptos" w:cs="Arial"/>
          <w:i/>
          <w:iCs/>
          <w:sz w:val="22"/>
          <w:szCs w:val="22"/>
        </w:rPr>
        <w:t>Polish</w:t>
      </w:r>
      <w:proofErr w:type="spellEnd"/>
      <w:r w:rsidRPr="000A0E06">
        <w:rPr>
          <w:rFonts w:ascii="Aptos" w:hAnsi="Aptos" w:cs="Arial"/>
          <w:i/>
          <w:iCs/>
          <w:sz w:val="22"/>
          <w:szCs w:val="22"/>
        </w:rPr>
        <w:t xml:space="preserve"> EV Outlook”. Liczba rejestracji BEV kategorii M1 w 2035 r. w scenariuszach bazowym i rozwojowym będzie odpowiednio o 19% i o 14% niższa. Mimo to kurs na </w:t>
      </w:r>
      <w:proofErr w:type="spellStart"/>
      <w:r w:rsidRPr="000A0E06">
        <w:rPr>
          <w:rFonts w:ascii="Aptos" w:hAnsi="Aptos" w:cs="Arial"/>
          <w:i/>
          <w:iCs/>
          <w:sz w:val="22"/>
          <w:szCs w:val="22"/>
        </w:rPr>
        <w:t>elektromobilność</w:t>
      </w:r>
      <w:proofErr w:type="spellEnd"/>
      <w:r w:rsidRPr="000A0E06">
        <w:rPr>
          <w:rFonts w:ascii="Aptos" w:hAnsi="Aptos" w:cs="Arial"/>
          <w:i/>
          <w:iCs/>
          <w:sz w:val="22"/>
          <w:szCs w:val="22"/>
        </w:rPr>
        <w:t xml:space="preserve"> w Unii Europejskiej zostanie utrzymany. Szacujemy, że w 2030 r. z polskich salonów wyjedzie nawet ponad 140 tys. nowych, osobowych „elektryków”, a ich udział rynkowy zbliży się do 25%</w:t>
      </w:r>
      <w:r>
        <w:rPr>
          <w:rFonts w:ascii="Aptos" w:hAnsi="Aptos" w:cs="Arial"/>
          <w:sz w:val="22"/>
          <w:szCs w:val="22"/>
        </w:rPr>
        <w:t xml:space="preserve"> - mówi </w:t>
      </w:r>
      <w:r w:rsidRPr="000A0E06">
        <w:rPr>
          <w:rFonts w:ascii="Aptos" w:hAnsi="Aptos" w:cs="Arial"/>
          <w:b/>
          <w:bCs/>
          <w:sz w:val="22"/>
          <w:szCs w:val="22"/>
        </w:rPr>
        <w:t>Jan Wiśniewski</w:t>
      </w:r>
      <w:r>
        <w:rPr>
          <w:rFonts w:ascii="Aptos" w:hAnsi="Aptos" w:cs="Arial"/>
          <w:sz w:val="22"/>
          <w:szCs w:val="22"/>
        </w:rPr>
        <w:t xml:space="preserve">, dyrektor Centrum Badań i Analiz PSNM. </w:t>
      </w:r>
    </w:p>
    <w:p w14:paraId="7F439EA5" w14:textId="77777777" w:rsidR="004902F4" w:rsidRDefault="004902F4" w:rsidP="004902F4">
      <w:pPr>
        <w:spacing w:line="276" w:lineRule="auto"/>
        <w:jc w:val="both"/>
        <w:rPr>
          <w:rFonts w:ascii="Aptos" w:hAnsi="Aptos" w:cs="Arial"/>
          <w:sz w:val="22"/>
          <w:szCs w:val="22"/>
        </w:rPr>
      </w:pPr>
    </w:p>
    <w:p w14:paraId="602A2696" w14:textId="77777777" w:rsidR="004902F4" w:rsidRDefault="004902F4" w:rsidP="004902F4">
      <w:pPr>
        <w:spacing w:line="276" w:lineRule="auto"/>
        <w:jc w:val="both"/>
        <w:rPr>
          <w:rFonts w:ascii="Aptos" w:hAnsi="Aptos" w:cs="Arial"/>
          <w:sz w:val="22"/>
          <w:szCs w:val="22"/>
        </w:rPr>
      </w:pPr>
      <w:r>
        <w:rPr>
          <w:rFonts w:ascii="Aptos" w:hAnsi="Aptos" w:cs="Arial"/>
          <w:sz w:val="22"/>
          <w:szCs w:val="22"/>
        </w:rPr>
        <w:t>Raport F5A oraz PSNM to również kompendium wiedzy na temat aktualnych trendów rynkowych, zarówno w sektorze osobowych, dostawczych i ciężarowych samochodów elektrycznych, jak i infrastruktury ładowania, na poziomie krajowym oraz lokalnym: miast, województw i powiatów. Z „</w:t>
      </w:r>
      <w:proofErr w:type="spellStart"/>
      <w:r>
        <w:rPr>
          <w:rFonts w:ascii="Aptos" w:hAnsi="Aptos" w:cs="Arial"/>
          <w:sz w:val="22"/>
          <w:szCs w:val="22"/>
        </w:rPr>
        <w:t>Polish</w:t>
      </w:r>
      <w:proofErr w:type="spellEnd"/>
      <w:r>
        <w:rPr>
          <w:rFonts w:ascii="Aptos" w:hAnsi="Aptos" w:cs="Arial"/>
          <w:sz w:val="22"/>
          <w:szCs w:val="22"/>
        </w:rPr>
        <w:t xml:space="preserve"> EV Outlook” wynika m.in., że najpopularniejszym segmentem BEV nabywanych przez Polaków są </w:t>
      </w:r>
      <w:proofErr w:type="spellStart"/>
      <w:r>
        <w:rPr>
          <w:rFonts w:ascii="Aptos" w:hAnsi="Aptos" w:cs="Arial"/>
          <w:sz w:val="22"/>
          <w:szCs w:val="22"/>
        </w:rPr>
        <w:t>SUVy</w:t>
      </w:r>
      <w:proofErr w:type="spellEnd"/>
      <w:r>
        <w:rPr>
          <w:rFonts w:ascii="Aptos" w:hAnsi="Aptos" w:cs="Arial"/>
          <w:sz w:val="22"/>
          <w:szCs w:val="22"/>
        </w:rPr>
        <w:t xml:space="preserve"> segmentu D. Ich udział na rynku e-</w:t>
      </w:r>
      <w:proofErr w:type="spellStart"/>
      <w:r>
        <w:rPr>
          <w:rFonts w:ascii="Aptos" w:hAnsi="Aptos" w:cs="Arial"/>
          <w:sz w:val="22"/>
          <w:szCs w:val="22"/>
        </w:rPr>
        <w:t>mobility</w:t>
      </w:r>
      <w:proofErr w:type="spellEnd"/>
      <w:r>
        <w:rPr>
          <w:rFonts w:ascii="Aptos" w:hAnsi="Aptos" w:cs="Arial"/>
          <w:sz w:val="22"/>
          <w:szCs w:val="22"/>
        </w:rPr>
        <w:t xml:space="preserve"> w 2025 r. wyniósł ponad 26%. Biorąc pod uwagę miasta o liczbie ludności przekraczającej 100 tys., największa liczba samochodów elektrycznych na 1 tys. mieszkańców została zarejestrowana w Warszawie (16,03), a kolejne miejsca zajęły Poznań oraz Katowice. Na przeciwległym końcu tego rankingu znalazły się Bytom (0,95), Dąbrowa Górnicza oraz Zabrze. „</w:t>
      </w:r>
      <w:proofErr w:type="spellStart"/>
      <w:r>
        <w:rPr>
          <w:rFonts w:ascii="Aptos" w:hAnsi="Aptos" w:cs="Arial"/>
          <w:sz w:val="22"/>
          <w:szCs w:val="22"/>
        </w:rPr>
        <w:t>Polish</w:t>
      </w:r>
      <w:proofErr w:type="spellEnd"/>
      <w:r>
        <w:rPr>
          <w:rFonts w:ascii="Aptos" w:hAnsi="Aptos" w:cs="Arial"/>
          <w:sz w:val="22"/>
          <w:szCs w:val="22"/>
        </w:rPr>
        <w:t xml:space="preserve"> EV Outlook” to również kompleksowa analiza sektora ogólnodostępnej infrastruktury ładowania, w tym modeli biznesowych oraz udziałów wiodących operatorów oraz producentów stacji. </w:t>
      </w:r>
    </w:p>
    <w:p w14:paraId="4C173211" w14:textId="77777777" w:rsidR="004902F4" w:rsidRDefault="004902F4" w:rsidP="004902F4">
      <w:pPr>
        <w:spacing w:line="276" w:lineRule="auto"/>
        <w:jc w:val="both"/>
        <w:rPr>
          <w:rFonts w:ascii="Aptos" w:hAnsi="Aptos" w:cs="Arial"/>
          <w:sz w:val="22"/>
          <w:szCs w:val="22"/>
        </w:rPr>
      </w:pPr>
    </w:p>
    <w:p w14:paraId="30E88D65" w14:textId="77777777" w:rsidR="004902F4" w:rsidRDefault="004902F4" w:rsidP="004902F4">
      <w:pPr>
        <w:spacing w:line="276" w:lineRule="auto"/>
        <w:jc w:val="both"/>
        <w:rPr>
          <w:rFonts w:ascii="Aptos" w:hAnsi="Aptos" w:cs="Arial"/>
          <w:sz w:val="22"/>
          <w:szCs w:val="22"/>
        </w:rPr>
      </w:pPr>
      <w:r>
        <w:rPr>
          <w:rFonts w:ascii="Aptos" w:hAnsi="Aptos" w:cs="Arial"/>
          <w:sz w:val="22"/>
          <w:szCs w:val="22"/>
        </w:rPr>
        <w:t xml:space="preserve">– </w:t>
      </w:r>
      <w:r w:rsidRPr="00BD4AF5">
        <w:rPr>
          <w:rFonts w:ascii="Aptos" w:hAnsi="Aptos" w:cs="Arial"/>
          <w:i/>
          <w:iCs/>
          <w:sz w:val="22"/>
          <w:szCs w:val="22"/>
        </w:rPr>
        <w:t xml:space="preserve">W ostatnim czasie odnotowaliśmy </w:t>
      </w:r>
      <w:r>
        <w:rPr>
          <w:rFonts w:ascii="Aptos" w:hAnsi="Aptos" w:cs="Arial"/>
          <w:i/>
          <w:iCs/>
          <w:sz w:val="22"/>
          <w:szCs w:val="22"/>
        </w:rPr>
        <w:t>istotny</w:t>
      </w:r>
      <w:r w:rsidRPr="00BD4AF5">
        <w:rPr>
          <w:rFonts w:ascii="Aptos" w:hAnsi="Aptos" w:cs="Arial"/>
          <w:i/>
          <w:iCs/>
          <w:sz w:val="22"/>
          <w:szCs w:val="22"/>
        </w:rPr>
        <w:t xml:space="preserve"> wzrost BEV przypadających na jeden punkt ładowania: z 9,6 w 2024 r. do 11,2 w roku 2025. Dobra wiadomość jest taka, że równocześnie bardzo wyraźnie zwiększyła się łączna moc szybkiej infrastruktury DC: z niecałych 190 tys. kW do ponad 300 tys. </w:t>
      </w:r>
      <w:proofErr w:type="spellStart"/>
      <w:r w:rsidRPr="00BD4AF5">
        <w:rPr>
          <w:rFonts w:ascii="Aptos" w:hAnsi="Aptos" w:cs="Arial"/>
          <w:i/>
          <w:iCs/>
          <w:sz w:val="22"/>
          <w:szCs w:val="22"/>
        </w:rPr>
        <w:t>kW.</w:t>
      </w:r>
      <w:proofErr w:type="spellEnd"/>
      <w:r w:rsidRPr="00BD4AF5">
        <w:rPr>
          <w:rFonts w:ascii="Aptos" w:hAnsi="Aptos" w:cs="Arial"/>
          <w:i/>
          <w:iCs/>
          <w:sz w:val="22"/>
          <w:szCs w:val="22"/>
        </w:rPr>
        <w:t xml:space="preserve"> To wzrost o 60% r/r. Z naszego raportu wynika również, że liderami wśród operatorów stacji ładowania, biorąc pod uwagę rozwój infrastruktury wzdłuż sieci TEN-T są </w:t>
      </w:r>
      <w:proofErr w:type="spellStart"/>
      <w:r w:rsidRPr="00BD4AF5">
        <w:rPr>
          <w:rFonts w:ascii="Aptos" w:hAnsi="Aptos" w:cs="Arial"/>
          <w:i/>
          <w:iCs/>
          <w:sz w:val="22"/>
          <w:szCs w:val="22"/>
        </w:rPr>
        <w:t>GreenWay</w:t>
      </w:r>
      <w:proofErr w:type="spellEnd"/>
      <w:r w:rsidRPr="00BD4AF5">
        <w:rPr>
          <w:rFonts w:ascii="Aptos" w:hAnsi="Aptos" w:cs="Arial"/>
          <w:i/>
          <w:iCs/>
          <w:sz w:val="22"/>
          <w:szCs w:val="22"/>
        </w:rPr>
        <w:t xml:space="preserve"> Polska (udział 37%), Orlen oraz Tesla. Natomiast do najpopularniejszych producentów stacji DC instalowanych przy polskich drogach należą </w:t>
      </w:r>
      <w:proofErr w:type="spellStart"/>
      <w:r w:rsidRPr="00BD4AF5">
        <w:rPr>
          <w:rFonts w:ascii="Aptos" w:hAnsi="Aptos" w:cs="Arial"/>
          <w:i/>
          <w:iCs/>
          <w:sz w:val="22"/>
          <w:szCs w:val="22"/>
        </w:rPr>
        <w:t>Ekoenergetyka</w:t>
      </w:r>
      <w:proofErr w:type="spellEnd"/>
      <w:r w:rsidRPr="00BD4AF5">
        <w:rPr>
          <w:rFonts w:ascii="Aptos" w:hAnsi="Aptos" w:cs="Arial"/>
          <w:i/>
          <w:iCs/>
          <w:sz w:val="22"/>
          <w:szCs w:val="22"/>
        </w:rPr>
        <w:t xml:space="preserve">, Delta oraz </w:t>
      </w:r>
      <w:proofErr w:type="spellStart"/>
      <w:r w:rsidRPr="00BD4AF5">
        <w:rPr>
          <w:rFonts w:ascii="Aptos" w:hAnsi="Aptos" w:cs="Arial"/>
          <w:i/>
          <w:iCs/>
          <w:sz w:val="22"/>
          <w:szCs w:val="22"/>
        </w:rPr>
        <w:t>Alpitronic</w:t>
      </w:r>
      <w:proofErr w:type="spellEnd"/>
      <w:r>
        <w:rPr>
          <w:rFonts w:ascii="Aptos" w:hAnsi="Aptos" w:cs="Arial"/>
          <w:sz w:val="22"/>
          <w:szCs w:val="22"/>
        </w:rPr>
        <w:t xml:space="preserve"> – mówi </w:t>
      </w:r>
      <w:r w:rsidRPr="00BD4AF5">
        <w:rPr>
          <w:rFonts w:ascii="Aptos" w:hAnsi="Aptos" w:cs="Arial"/>
          <w:b/>
          <w:bCs/>
          <w:sz w:val="22"/>
          <w:szCs w:val="22"/>
        </w:rPr>
        <w:t>Albert Kania</w:t>
      </w:r>
      <w:r>
        <w:rPr>
          <w:rFonts w:ascii="Aptos" w:hAnsi="Aptos" w:cs="Arial"/>
          <w:sz w:val="22"/>
          <w:szCs w:val="22"/>
        </w:rPr>
        <w:t xml:space="preserve">, dyrektor operacyjny F5A. </w:t>
      </w:r>
    </w:p>
    <w:p w14:paraId="64851FA6" w14:textId="77777777" w:rsidR="004902F4" w:rsidRDefault="004902F4" w:rsidP="004902F4">
      <w:pPr>
        <w:spacing w:line="276" w:lineRule="auto"/>
        <w:jc w:val="both"/>
        <w:rPr>
          <w:rFonts w:ascii="Aptos" w:hAnsi="Aptos" w:cs="Arial"/>
          <w:sz w:val="22"/>
          <w:szCs w:val="22"/>
        </w:rPr>
      </w:pPr>
    </w:p>
    <w:p w14:paraId="621C19D7" w14:textId="77777777" w:rsidR="004902F4" w:rsidRPr="000A0E06" w:rsidRDefault="004902F4" w:rsidP="004902F4">
      <w:pPr>
        <w:spacing w:line="276" w:lineRule="auto"/>
        <w:jc w:val="both"/>
        <w:rPr>
          <w:rFonts w:ascii="Aptos" w:hAnsi="Aptos" w:cs="Arial"/>
          <w:sz w:val="22"/>
          <w:szCs w:val="22"/>
        </w:rPr>
      </w:pPr>
      <w:r>
        <w:rPr>
          <w:rFonts w:ascii="Aptos" w:hAnsi="Aptos" w:cs="Arial"/>
          <w:sz w:val="22"/>
          <w:szCs w:val="22"/>
        </w:rPr>
        <w:t xml:space="preserve"> </w:t>
      </w:r>
      <w:r w:rsidRPr="000A0E06">
        <w:rPr>
          <w:rFonts w:ascii="Aptos" w:hAnsi="Aptos" w:cs="Arial"/>
          <w:sz w:val="22"/>
          <w:szCs w:val="22"/>
        </w:rPr>
        <w:t>„</w:t>
      </w:r>
      <w:proofErr w:type="spellStart"/>
      <w:r w:rsidRPr="000A0E06">
        <w:rPr>
          <w:rFonts w:ascii="Aptos" w:hAnsi="Aptos" w:cs="Arial"/>
          <w:sz w:val="22"/>
          <w:szCs w:val="22"/>
        </w:rPr>
        <w:t>Polish</w:t>
      </w:r>
      <w:proofErr w:type="spellEnd"/>
      <w:r w:rsidRPr="000A0E06">
        <w:rPr>
          <w:rFonts w:ascii="Aptos" w:hAnsi="Aptos" w:cs="Arial"/>
          <w:sz w:val="22"/>
          <w:szCs w:val="22"/>
        </w:rPr>
        <w:t xml:space="preserve"> EV Outlook” </w:t>
      </w:r>
      <w:r>
        <w:rPr>
          <w:rFonts w:ascii="Aptos" w:hAnsi="Aptos" w:cs="Arial"/>
          <w:sz w:val="22"/>
          <w:szCs w:val="22"/>
        </w:rPr>
        <w:t xml:space="preserve">2026 </w:t>
      </w:r>
      <w:r w:rsidRPr="000A0E06">
        <w:rPr>
          <w:rFonts w:ascii="Aptos" w:hAnsi="Aptos" w:cs="Arial"/>
          <w:sz w:val="22"/>
          <w:szCs w:val="22"/>
        </w:rPr>
        <w:t xml:space="preserve">jest dostępny w cyfrowej formie, opartej na chmurze i narzędziach Power Bi. W rezultacie raport zapewnia niedostępne wcześniej możliwości analizy danych, wizualizacji trendów oraz porównywania prognoz. Dzięki interaktywnym </w:t>
      </w:r>
      <w:proofErr w:type="spellStart"/>
      <w:r w:rsidRPr="000A0E06">
        <w:rPr>
          <w:rFonts w:ascii="Aptos" w:hAnsi="Aptos" w:cs="Arial"/>
          <w:sz w:val="22"/>
          <w:szCs w:val="22"/>
        </w:rPr>
        <w:t>dashboardom</w:t>
      </w:r>
      <w:proofErr w:type="spellEnd"/>
      <w:r w:rsidRPr="000A0E06">
        <w:rPr>
          <w:rFonts w:ascii="Aptos" w:hAnsi="Aptos" w:cs="Arial"/>
          <w:sz w:val="22"/>
          <w:szCs w:val="22"/>
        </w:rPr>
        <w:t xml:space="preserve"> użytkownicy mogą w intuicyjny sposób eksplorować dane, generować własne zestawienia i pozyskiwać informacje wspierające prowadzenie biznesu.</w:t>
      </w:r>
    </w:p>
    <w:p w14:paraId="6B183494" w14:textId="77777777" w:rsidR="004902F4" w:rsidRPr="000A0E06" w:rsidRDefault="004902F4" w:rsidP="004902F4">
      <w:pPr>
        <w:spacing w:line="276" w:lineRule="auto"/>
        <w:jc w:val="both"/>
        <w:rPr>
          <w:rFonts w:ascii="Aptos" w:hAnsi="Aptos" w:cs="Arial"/>
          <w:sz w:val="22"/>
          <w:szCs w:val="22"/>
        </w:rPr>
      </w:pPr>
    </w:p>
    <w:p w14:paraId="1AA60C0D" w14:textId="77777777" w:rsidR="004902F4" w:rsidRPr="00B51F09" w:rsidRDefault="004902F4" w:rsidP="004902F4">
      <w:pPr>
        <w:spacing w:line="276" w:lineRule="auto"/>
        <w:jc w:val="both"/>
        <w:rPr>
          <w:rFonts w:ascii="Aptos" w:hAnsi="Aptos" w:cs="Arial"/>
          <w:sz w:val="22"/>
          <w:szCs w:val="22"/>
        </w:rPr>
      </w:pPr>
      <w:r w:rsidRPr="000A0E06">
        <w:rPr>
          <w:rFonts w:ascii="Aptos" w:hAnsi="Aptos" w:cs="Arial"/>
          <w:sz w:val="22"/>
          <w:szCs w:val="22"/>
        </w:rPr>
        <w:lastRenderedPageBreak/>
        <w:t>Więcej informacji o „</w:t>
      </w:r>
      <w:proofErr w:type="spellStart"/>
      <w:r w:rsidRPr="000A0E06">
        <w:rPr>
          <w:rFonts w:ascii="Aptos" w:hAnsi="Aptos" w:cs="Arial"/>
          <w:sz w:val="22"/>
          <w:szCs w:val="22"/>
        </w:rPr>
        <w:t>Polish</w:t>
      </w:r>
      <w:proofErr w:type="spellEnd"/>
      <w:r w:rsidRPr="000A0E06">
        <w:rPr>
          <w:rFonts w:ascii="Aptos" w:hAnsi="Aptos" w:cs="Arial"/>
          <w:sz w:val="22"/>
          <w:szCs w:val="22"/>
        </w:rPr>
        <w:t xml:space="preserve"> EV Outlook 2025”, jak również możliwość zamówienia raportu, dostępne jest na stronie: </w:t>
      </w:r>
      <w:hyperlink r:id="rId7" w:history="1">
        <w:r w:rsidRPr="00034FE9">
          <w:rPr>
            <w:rStyle w:val="Hipercze"/>
            <w:rFonts w:ascii="Aptos" w:hAnsi="Aptos" w:cs="Arial"/>
            <w:sz w:val="22"/>
            <w:szCs w:val="22"/>
          </w:rPr>
          <w:t>www.polishevoutlook.pl</w:t>
        </w:r>
      </w:hyperlink>
      <w:r>
        <w:rPr>
          <w:rFonts w:ascii="Aptos" w:hAnsi="Aptos" w:cs="Arial"/>
          <w:sz w:val="22"/>
          <w:szCs w:val="22"/>
        </w:rPr>
        <w:t xml:space="preserve">. </w:t>
      </w:r>
    </w:p>
    <w:p w14:paraId="4F146C50" w14:textId="77777777" w:rsidR="005404E1" w:rsidRPr="00422242" w:rsidRDefault="005404E1" w:rsidP="00FB5FBF">
      <w:pPr>
        <w:spacing w:line="276" w:lineRule="auto"/>
        <w:rPr>
          <w:rFonts w:ascii="Aptos" w:hAnsi="Aptos" w:cs="Arial"/>
          <w:sz w:val="22"/>
          <w:szCs w:val="22"/>
        </w:rPr>
      </w:pPr>
    </w:p>
    <w:p w14:paraId="799013FC" w14:textId="275BADE6" w:rsidR="00716957" w:rsidRPr="00422242" w:rsidRDefault="00716957" w:rsidP="00FB5FBF">
      <w:pPr>
        <w:spacing w:line="276" w:lineRule="auto"/>
        <w:rPr>
          <w:rFonts w:ascii="Aptos" w:hAnsi="Aptos" w:cs="Arial"/>
          <w:sz w:val="22"/>
          <w:szCs w:val="22"/>
        </w:rPr>
      </w:pPr>
    </w:p>
    <w:p w14:paraId="032B1412" w14:textId="77777777" w:rsidR="00716957" w:rsidRPr="00422242" w:rsidRDefault="00716957" w:rsidP="00FB5FBF">
      <w:pPr>
        <w:spacing w:line="276" w:lineRule="auto"/>
        <w:rPr>
          <w:rFonts w:ascii="Aptos" w:hAnsi="Aptos" w:cs="Arial"/>
          <w:sz w:val="22"/>
          <w:szCs w:val="22"/>
        </w:rPr>
      </w:pPr>
    </w:p>
    <w:p w14:paraId="7FD8E9EA" w14:textId="77777777" w:rsidR="00716957" w:rsidRPr="00422242" w:rsidRDefault="00716957" w:rsidP="00FB5FBF">
      <w:pPr>
        <w:spacing w:line="276" w:lineRule="auto"/>
        <w:rPr>
          <w:rFonts w:ascii="Aptos" w:hAnsi="Aptos" w:cs="Arial"/>
          <w:sz w:val="22"/>
          <w:szCs w:val="22"/>
        </w:rPr>
      </w:pPr>
    </w:p>
    <w:sectPr w:rsidR="00716957" w:rsidRPr="00422242" w:rsidSect="00232820">
      <w:headerReference w:type="default" r:id="rId8"/>
      <w:footerReference w:type="default" r:id="rId9"/>
      <w:pgSz w:w="11900" w:h="16840"/>
      <w:pgMar w:top="21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037F" w14:textId="77777777" w:rsidR="00823272" w:rsidRDefault="00823272" w:rsidP="00096C4B">
      <w:r>
        <w:separator/>
      </w:r>
    </w:p>
  </w:endnote>
  <w:endnote w:type="continuationSeparator" w:id="0">
    <w:p w14:paraId="463AD4C8" w14:textId="77777777" w:rsidR="00823272" w:rsidRDefault="00823272" w:rsidP="0009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EFF8" w14:textId="1FF8BF46" w:rsidR="00096C4B" w:rsidRDefault="00B04E50">
    <w:pPr>
      <w:pStyle w:val="Stopka"/>
    </w:pPr>
    <w:r>
      <w:rPr>
        <w:noProof/>
      </w:rPr>
      <w:drawing>
        <wp:anchor distT="0" distB="0" distL="114300" distR="114300" simplePos="0" relativeHeight="251663359" behindDoc="0" locked="0" layoutInCell="1" allowOverlap="1" wp14:anchorId="1D5BD064" wp14:editId="6F19EF4F">
          <wp:simplePos x="0" y="0"/>
          <wp:positionH relativeFrom="column">
            <wp:posOffset>5017135</wp:posOffset>
          </wp:positionH>
          <wp:positionV relativeFrom="paragraph">
            <wp:posOffset>175797</wp:posOffset>
          </wp:positionV>
          <wp:extent cx="1638935" cy="647065"/>
          <wp:effectExtent l="0" t="0" r="0" b="635"/>
          <wp:wrapNone/>
          <wp:docPr id="1591979107" name="Obraz 2" descr="Obraz zawierający Grafika,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979107" name="Obraz 2" descr="Obraz zawierający Grafika, Czcionka, symbol, logo&#10;&#10;Opis wygenerowany automatycznie"/>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1638935" cy="6470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7" behindDoc="0" locked="0" layoutInCell="1" allowOverlap="1" wp14:anchorId="7A17ED27" wp14:editId="24CEB3FA">
          <wp:simplePos x="0" y="0"/>
          <wp:positionH relativeFrom="margin">
            <wp:posOffset>-2980</wp:posOffset>
          </wp:positionH>
          <wp:positionV relativeFrom="page">
            <wp:posOffset>10049608</wp:posOffset>
          </wp:positionV>
          <wp:extent cx="4774223" cy="291465"/>
          <wp:effectExtent l="0" t="0" r="1270" b="635"/>
          <wp:wrapNone/>
          <wp:docPr id="6826848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84800" name="Obraz 2"/>
                  <pic:cNvPicPr/>
                </pic:nvPicPr>
                <pic:blipFill rotWithShape="1">
                  <a:blip r:embed="rId2">
                    <a:extLst>
                      <a:ext uri="{28A0092B-C50C-407E-A947-70E740481C1C}">
                        <a14:useLocalDpi xmlns:a14="http://schemas.microsoft.com/office/drawing/2010/main" val="0"/>
                      </a:ext>
                    </a:extLst>
                  </a:blip>
                  <a:srcRect r="6696"/>
                  <a:stretch/>
                </pic:blipFill>
                <pic:spPr bwMode="auto">
                  <a:xfrm>
                    <a:off x="0" y="0"/>
                    <a:ext cx="4774223" cy="291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EBEC49" w14:textId="3FE4C10C" w:rsidR="00096C4B" w:rsidRDefault="00096C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1858" w14:textId="77777777" w:rsidR="00823272" w:rsidRDefault="00823272" w:rsidP="00096C4B">
      <w:r>
        <w:separator/>
      </w:r>
    </w:p>
  </w:footnote>
  <w:footnote w:type="continuationSeparator" w:id="0">
    <w:p w14:paraId="28741C64" w14:textId="77777777" w:rsidR="00823272" w:rsidRDefault="00823272" w:rsidP="0009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2995" w14:textId="20C54C0B" w:rsidR="00096C4B" w:rsidRDefault="006916BF">
    <w:pPr>
      <w:pStyle w:val="Nagwek"/>
    </w:pPr>
    <w:r>
      <w:rPr>
        <w:noProof/>
      </w:rPr>
      <w:drawing>
        <wp:anchor distT="0" distB="0" distL="114300" distR="114300" simplePos="0" relativeHeight="251662335" behindDoc="0" locked="0" layoutInCell="1" allowOverlap="1" wp14:anchorId="46BB2F5C" wp14:editId="0F30396D">
          <wp:simplePos x="0" y="0"/>
          <wp:positionH relativeFrom="column">
            <wp:posOffset>3706495</wp:posOffset>
          </wp:positionH>
          <wp:positionV relativeFrom="paragraph">
            <wp:posOffset>68043</wp:posOffset>
          </wp:positionV>
          <wp:extent cx="1948815" cy="396240"/>
          <wp:effectExtent l="0" t="0" r="0" b="0"/>
          <wp:wrapNone/>
          <wp:docPr id="1356909794" name="Obraz 1" descr="Obraz zawierający czarne, ciemność&#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09794" name="Obraz 1" descr="Obraz zawierający czarne, ciemność&#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948815" cy="3962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1" behindDoc="0" locked="0" layoutInCell="1" allowOverlap="1" wp14:anchorId="083D6298" wp14:editId="4C02FFF6">
          <wp:simplePos x="0" y="0"/>
          <wp:positionH relativeFrom="column">
            <wp:posOffset>5715</wp:posOffset>
          </wp:positionH>
          <wp:positionV relativeFrom="paragraph">
            <wp:posOffset>-35462</wp:posOffset>
          </wp:positionV>
          <wp:extent cx="1292225" cy="511810"/>
          <wp:effectExtent l="0" t="0" r="3175" b="0"/>
          <wp:wrapNone/>
          <wp:docPr id="1059273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3252" name="Obraz 2"/>
                  <pic:cNvPicPr/>
                </pic:nvPicPr>
                <pic:blipFill>
                  <a:blip r:embed="rId2">
                    <a:extLst>
                      <a:ext uri="{28A0092B-C50C-407E-A947-70E740481C1C}">
                        <a14:useLocalDpi xmlns:a14="http://schemas.microsoft.com/office/drawing/2010/main" val="0"/>
                      </a:ext>
                    </a:extLst>
                  </a:blip>
                  <a:stretch>
                    <a:fillRect/>
                  </a:stretch>
                </pic:blipFill>
                <pic:spPr>
                  <a:xfrm>
                    <a:off x="0" y="0"/>
                    <a:ext cx="1292225" cy="511810"/>
                  </a:xfrm>
                  <a:prstGeom prst="rect">
                    <a:avLst/>
                  </a:prstGeom>
                </pic:spPr>
              </pic:pic>
            </a:graphicData>
          </a:graphic>
          <wp14:sizeRelH relativeFrom="page">
            <wp14:pctWidth>0</wp14:pctWidth>
          </wp14:sizeRelH>
          <wp14:sizeRelV relativeFrom="page">
            <wp14:pctHeight>0</wp14:pctHeight>
          </wp14:sizeRelV>
        </wp:anchor>
      </w:drawing>
    </w:r>
  </w:p>
  <w:p w14:paraId="54751990" w14:textId="75C173C0" w:rsidR="00096C4B" w:rsidRDefault="00096C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2B43"/>
    <w:multiLevelType w:val="hybridMultilevel"/>
    <w:tmpl w:val="B2C49A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488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A7"/>
    <w:rsid w:val="00053D50"/>
    <w:rsid w:val="000608F2"/>
    <w:rsid w:val="00096C4B"/>
    <w:rsid w:val="000B6186"/>
    <w:rsid w:val="000C0FE4"/>
    <w:rsid w:val="000C3267"/>
    <w:rsid w:val="001612A8"/>
    <w:rsid w:val="001C30D0"/>
    <w:rsid w:val="00232820"/>
    <w:rsid w:val="00287DD2"/>
    <w:rsid w:val="003A092F"/>
    <w:rsid w:val="00422242"/>
    <w:rsid w:val="004624F6"/>
    <w:rsid w:val="004902F4"/>
    <w:rsid w:val="004C6001"/>
    <w:rsid w:val="00520EA9"/>
    <w:rsid w:val="005404E1"/>
    <w:rsid w:val="00551AB0"/>
    <w:rsid w:val="0056239B"/>
    <w:rsid w:val="00570F09"/>
    <w:rsid w:val="005B145E"/>
    <w:rsid w:val="005E2DFC"/>
    <w:rsid w:val="00643FAB"/>
    <w:rsid w:val="006916BF"/>
    <w:rsid w:val="00716957"/>
    <w:rsid w:val="007B6846"/>
    <w:rsid w:val="00823272"/>
    <w:rsid w:val="00832C9A"/>
    <w:rsid w:val="008F121F"/>
    <w:rsid w:val="009113D2"/>
    <w:rsid w:val="009B0A35"/>
    <w:rsid w:val="009F70E3"/>
    <w:rsid w:val="00A42383"/>
    <w:rsid w:val="00A61088"/>
    <w:rsid w:val="00AD5F17"/>
    <w:rsid w:val="00AD6181"/>
    <w:rsid w:val="00B04E50"/>
    <w:rsid w:val="00B94DF6"/>
    <w:rsid w:val="00C56F49"/>
    <w:rsid w:val="00C61704"/>
    <w:rsid w:val="00C91224"/>
    <w:rsid w:val="00CB676E"/>
    <w:rsid w:val="00CC4F82"/>
    <w:rsid w:val="00D35EFB"/>
    <w:rsid w:val="00FB5FBF"/>
    <w:rsid w:val="00FF69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96D1E"/>
  <w15:chartTrackingRefBased/>
  <w15:docId w15:val="{C39292D7-AEC1-954A-AE02-C90714A4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pistreci10">
    <w:name w:val="Spis treści 10"/>
    <w:basedOn w:val="Spistreci2"/>
    <w:qFormat/>
    <w:rsid w:val="00A61088"/>
    <w:pPr>
      <w:tabs>
        <w:tab w:val="left" w:pos="567"/>
        <w:tab w:val="left" w:pos="900"/>
        <w:tab w:val="right" w:leader="dot" w:pos="9488"/>
      </w:tabs>
      <w:spacing w:before="120" w:after="0" w:line="288" w:lineRule="auto"/>
      <w:ind w:left="567" w:hanging="567"/>
    </w:pPr>
    <w:rPr>
      <w:rFonts w:ascii="Century Gothic" w:eastAsia="Times New Roman" w:hAnsi="Century Gothic" w:cs="Times New Roman"/>
      <w:bCs/>
      <w:noProof/>
      <w:sz w:val="22"/>
      <w:szCs w:val="22"/>
      <w:lang w:val="en-GB" w:eastAsia="da-DK"/>
    </w:rPr>
  </w:style>
  <w:style w:type="paragraph" w:styleId="Spistreci2">
    <w:name w:val="toc 2"/>
    <w:basedOn w:val="Normalny"/>
    <w:next w:val="Normalny"/>
    <w:autoRedefine/>
    <w:uiPriority w:val="39"/>
    <w:semiHidden/>
    <w:unhideWhenUsed/>
    <w:rsid w:val="00A61088"/>
    <w:pPr>
      <w:spacing w:after="100"/>
      <w:ind w:left="240"/>
    </w:pPr>
  </w:style>
  <w:style w:type="paragraph" w:styleId="Nagwek">
    <w:name w:val="header"/>
    <w:basedOn w:val="Normalny"/>
    <w:link w:val="NagwekZnak"/>
    <w:uiPriority w:val="99"/>
    <w:unhideWhenUsed/>
    <w:rsid w:val="00096C4B"/>
    <w:pPr>
      <w:tabs>
        <w:tab w:val="center" w:pos="4536"/>
        <w:tab w:val="right" w:pos="9072"/>
      </w:tabs>
    </w:pPr>
  </w:style>
  <w:style w:type="character" w:customStyle="1" w:styleId="NagwekZnak">
    <w:name w:val="Nagłówek Znak"/>
    <w:basedOn w:val="Domylnaczcionkaakapitu"/>
    <w:link w:val="Nagwek"/>
    <w:uiPriority w:val="99"/>
    <w:rsid w:val="00096C4B"/>
  </w:style>
  <w:style w:type="paragraph" w:styleId="Stopka">
    <w:name w:val="footer"/>
    <w:basedOn w:val="Normalny"/>
    <w:link w:val="StopkaZnak"/>
    <w:uiPriority w:val="99"/>
    <w:unhideWhenUsed/>
    <w:rsid w:val="00096C4B"/>
    <w:pPr>
      <w:tabs>
        <w:tab w:val="center" w:pos="4536"/>
        <w:tab w:val="right" w:pos="9072"/>
      </w:tabs>
    </w:pPr>
  </w:style>
  <w:style w:type="character" w:customStyle="1" w:styleId="StopkaZnak">
    <w:name w:val="Stopka Znak"/>
    <w:basedOn w:val="Domylnaczcionkaakapitu"/>
    <w:link w:val="Stopka"/>
    <w:uiPriority w:val="99"/>
    <w:rsid w:val="00096C4B"/>
  </w:style>
  <w:style w:type="paragraph" w:styleId="Akapitzlist">
    <w:name w:val="List Paragraph"/>
    <w:basedOn w:val="Normalny"/>
    <w:uiPriority w:val="34"/>
    <w:qFormat/>
    <w:rsid w:val="004902F4"/>
    <w:pPr>
      <w:ind w:left="720"/>
      <w:contextualSpacing/>
    </w:pPr>
  </w:style>
  <w:style w:type="character" w:styleId="Hipercze">
    <w:name w:val="Hyperlink"/>
    <w:basedOn w:val="Domylnaczcionkaakapitu"/>
    <w:uiPriority w:val="99"/>
    <w:unhideWhenUsed/>
    <w:rsid w:val="004902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lishevoutloo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5410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Furmanek</dc:creator>
  <cp:keywords/>
  <dc:description/>
  <cp:lastModifiedBy>Jan Wiewiór</cp:lastModifiedBy>
  <cp:revision>4</cp:revision>
  <dcterms:created xsi:type="dcterms:W3CDTF">2026-04-16T07:38:00Z</dcterms:created>
  <dcterms:modified xsi:type="dcterms:W3CDTF">2026-04-16T07:39:00Z</dcterms:modified>
</cp:coreProperties>
</file>