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A663" w14:textId="77777777" w:rsidR="001F320C" w:rsidRPr="001F320C" w:rsidRDefault="001F320C" w:rsidP="001F320C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5A9618F8" w14:textId="20B5BA2A" w:rsidR="00CF4719" w:rsidRPr="001F320C" w:rsidRDefault="001F320C" w:rsidP="001F320C">
      <w:pPr>
        <w:spacing w:line="276" w:lineRule="auto"/>
        <w:jc w:val="right"/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>19 września 2025 r.</w:t>
      </w:r>
    </w:p>
    <w:p w14:paraId="38A9F761" w14:textId="26BF46DD" w:rsidR="00A840DA" w:rsidRPr="001F320C" w:rsidRDefault="00A840DA" w:rsidP="001F320C">
      <w:pPr>
        <w:spacing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Informacja prasowa                                                                                                                        </w:t>
      </w:r>
    </w:p>
    <w:p w14:paraId="50F883D8" w14:textId="77777777" w:rsidR="00A840DA" w:rsidRPr="001F320C" w:rsidRDefault="00A840DA" w:rsidP="001F320C">
      <w:pPr>
        <w:spacing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783BEBEC" w14:textId="1E5644FF" w:rsidR="00A840DA" w:rsidRPr="001F320C" w:rsidRDefault="00FA7165" w:rsidP="001F320C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F320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KNM 2025: </w:t>
      </w:r>
      <w:r w:rsidR="000D100E" w:rsidRPr="001F320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Porozumienie </w:t>
      </w:r>
      <w:r w:rsidR="00FC189A" w:rsidRPr="001F320C">
        <w:rPr>
          <w:rFonts w:ascii="Calibri" w:hAnsi="Calibri" w:cs="Calibri"/>
          <w:b/>
          <w:bCs/>
          <w:color w:val="000000" w:themeColor="text1"/>
          <w:sz w:val="28"/>
          <w:szCs w:val="28"/>
        </w:rPr>
        <w:t>S</w:t>
      </w:r>
      <w:r w:rsidR="000D100E" w:rsidRPr="001F320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ektorowe </w:t>
      </w:r>
      <w:r w:rsidR="009E1CCB" w:rsidRPr="001F320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– przełom w sektorze infrastruktury ładowania </w:t>
      </w:r>
      <w:r w:rsidR="000D100E" w:rsidRPr="001F320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1693B6BF" w14:textId="77777777" w:rsidR="00FA7165" w:rsidRPr="001F320C" w:rsidRDefault="00FA7165" w:rsidP="001F320C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24EBF23" w14:textId="33B64397" w:rsidR="008D381F" w:rsidRPr="001F320C" w:rsidRDefault="00775B0D" w:rsidP="001F320C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Branża infrastruktury ładowania (PSNM), operatorzy systemu dystrybucyjnego (PTPiREE) oraz eksperci Generalnej Dyrekcji Dróg Krajowych i Autostrad pracują nad Porozumieniem Sektorowym, </w:t>
      </w:r>
      <w:r w:rsidR="008D381F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adresu</w:t>
      </w:r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jącym</w:t>
      </w:r>
      <w:r w:rsidR="008D381F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niektóre z największych wyzwań związanych z procedurami przyłączeniowymi stacji ładowania do sieci elek</w:t>
      </w:r>
      <w:r w:rsidR="002D40D7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troenergetycznej. </w:t>
      </w:r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Dokument powstaje pod nadzorem Urzędu Regulacji Energetyki (URE). Ogłoszenie i uroczyste podpisanie Porozumienia </w:t>
      </w:r>
      <w:proofErr w:type="gramStart"/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odbędzie</w:t>
      </w:r>
      <w:proofErr w:type="gramEnd"/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się już 24 września podczas KNM 2025!</w:t>
      </w:r>
    </w:p>
    <w:p w14:paraId="5413BC95" w14:textId="77777777" w:rsidR="00775B0D" w:rsidRPr="001F320C" w:rsidRDefault="00775B0D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027E966" w14:textId="77777777" w:rsidR="00335D66" w:rsidRPr="001F320C" w:rsidRDefault="0022065A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Obecnie w Polsce funkcjonuje ok. 11 tys. ogólnodostępnych punktów ładowania. W związku z bardzo dynamicznym rozwojem floty samochodów elektrycznych już w 2030 r. sieć infrastruktury ładowania powinna być nawet </w:t>
      </w:r>
      <w:r w:rsidR="004A7021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6-krotnie większa. 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>Ponadto</w:t>
      </w:r>
      <w:r w:rsidR="004A7021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Polska stoi przed poważnym wyzwaniem w postaci konieczności realizacji celów wyznaczonych przez unijne rozporządzenie AFIR. Dotyczy to zwłaszcza rozbudowy stref ładowania (również dla samochodów ciężarowych) wzdłuż sieci TEN-T. Aktualnie poziom realizacji tych obowiązków jest bardzo niski – w wielu kategoriach 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pozostaje </w:t>
      </w:r>
      <w:r w:rsidR="004A7021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zbliżony 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="004A7021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0%. Jedne z największych wyzwań związanych z rozbudową infrastruktury związane są </w:t>
      </w:r>
      <w:r w:rsidR="00775B0D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obecnie </w:t>
      </w:r>
      <w:r w:rsidR="004A7021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="00775B0D" w:rsidRPr="001F320C">
        <w:rPr>
          <w:rFonts w:ascii="Calibri" w:hAnsi="Calibri" w:cs="Calibri"/>
          <w:color w:val="000000" w:themeColor="text1"/>
          <w:sz w:val="22"/>
          <w:szCs w:val="22"/>
        </w:rPr>
        <w:t>procesem</w:t>
      </w:r>
      <w:r w:rsidR="004A7021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przyłączeniowym stacji wysokich mocy do sieci elektroenergetycznej. </w:t>
      </w:r>
    </w:p>
    <w:p w14:paraId="70697B5E" w14:textId="77777777" w:rsidR="00335D66" w:rsidRPr="001F320C" w:rsidRDefault="00335D66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BCBEABB" w14:textId="3D2AABDC" w:rsidR="00A81217" w:rsidRPr="001F320C" w:rsidRDefault="004A7021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Aby wyjść naprzeciw 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tym 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>wyzwaniom</w:t>
      </w:r>
      <w:r w:rsidR="00F25D21" w:rsidRPr="001F320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kluczowi interesariusze zrównoważonego transportu połączyli siły inicjując projekt Porozumienia Sektorowego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775B0D" w:rsidRPr="001F320C">
        <w:rPr>
          <w:rFonts w:ascii="Calibri" w:hAnsi="Calibri" w:cs="Calibri"/>
          <w:color w:val="000000" w:themeColor="text1"/>
          <w:sz w:val="22"/>
          <w:szCs w:val="22"/>
        </w:rPr>
        <w:t>które będzie zawierać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katalog wytycznych i dobrych praktyk adresowanych do podmiotów </w:t>
      </w:r>
      <w:r w:rsidR="00974D40" w:rsidRPr="001F320C">
        <w:rPr>
          <w:rFonts w:ascii="Calibri" w:hAnsi="Calibri" w:cs="Calibri"/>
          <w:color w:val="000000" w:themeColor="text1"/>
          <w:sz w:val="22"/>
          <w:szCs w:val="22"/>
        </w:rPr>
        <w:t>uczestniczących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w proces</w:t>
      </w:r>
      <w:r w:rsidR="00974D40" w:rsidRPr="001F320C">
        <w:rPr>
          <w:rFonts w:ascii="Calibri" w:hAnsi="Calibri" w:cs="Calibri"/>
          <w:color w:val="000000" w:themeColor="text1"/>
          <w:sz w:val="22"/>
          <w:szCs w:val="22"/>
        </w:rPr>
        <w:t>ie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przyłączeniowy</w:t>
      </w:r>
      <w:r w:rsidR="00974D40" w:rsidRPr="001F320C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FC189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>W projekt zaangażowali się aktywnie operato</w:t>
      </w:r>
      <w:r w:rsidR="001D7E19" w:rsidRPr="001F320C">
        <w:rPr>
          <w:rFonts w:ascii="Calibri" w:hAnsi="Calibri" w:cs="Calibri"/>
          <w:color w:val="000000" w:themeColor="text1"/>
          <w:sz w:val="22"/>
          <w:szCs w:val="22"/>
        </w:rPr>
        <w:t>rzy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stacji ładowania zrzesz</w:t>
      </w:r>
      <w:r w:rsidR="001D7E19" w:rsidRPr="001F320C">
        <w:rPr>
          <w:rFonts w:ascii="Calibri" w:hAnsi="Calibri" w:cs="Calibri"/>
          <w:color w:val="000000" w:themeColor="text1"/>
          <w:sz w:val="22"/>
          <w:szCs w:val="22"/>
        </w:rPr>
        <w:t>eni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w PSNM, operator</w:t>
      </w:r>
      <w:r w:rsidR="001D7E19" w:rsidRPr="001F320C">
        <w:rPr>
          <w:rFonts w:ascii="Calibri" w:hAnsi="Calibri" w:cs="Calibri"/>
          <w:color w:val="000000" w:themeColor="text1"/>
          <w:sz w:val="22"/>
          <w:szCs w:val="22"/>
        </w:rPr>
        <w:t>zy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systemu dystrybucyjnego (OSD) </w:t>
      </w:r>
      <w:r w:rsidR="001D7E19" w:rsidRPr="001F320C">
        <w:rPr>
          <w:rFonts w:ascii="Calibri" w:hAnsi="Calibri" w:cs="Calibri"/>
          <w:color w:val="000000" w:themeColor="text1"/>
          <w:sz w:val="22"/>
          <w:szCs w:val="22"/>
        </w:rPr>
        <w:t>reprezentowani przez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562D46" w:rsidRPr="001F320C">
        <w:rPr>
          <w:rFonts w:ascii="Calibri" w:hAnsi="Calibri" w:cs="Calibri"/>
          <w:color w:val="000000" w:themeColor="text1"/>
          <w:sz w:val="22"/>
          <w:szCs w:val="22"/>
        </w:rPr>
        <w:t>PTPiREE</w:t>
      </w:r>
      <w:proofErr w:type="spellEnd"/>
      <w:r w:rsidR="00562D46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>oraz Generaln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Dyrekcj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212E9C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Dróg Krajowych i Autostrad. </w:t>
      </w:r>
      <w:r w:rsidR="008D381F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Prace nad Porozumieniem </w:t>
      </w:r>
      <w:r w:rsidR="001D7E19" w:rsidRPr="001F320C">
        <w:rPr>
          <w:rFonts w:ascii="Calibri" w:hAnsi="Calibri" w:cs="Calibri"/>
          <w:color w:val="000000" w:themeColor="text1"/>
          <w:sz w:val="22"/>
          <w:szCs w:val="22"/>
        </w:rPr>
        <w:t>koordynuje</w:t>
      </w:r>
      <w:r w:rsidR="008D381F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D7E19" w:rsidRPr="001F320C">
        <w:rPr>
          <w:rFonts w:ascii="Calibri" w:hAnsi="Calibri" w:cs="Calibri"/>
          <w:color w:val="000000" w:themeColor="text1"/>
          <w:sz w:val="22"/>
          <w:szCs w:val="22"/>
        </w:rPr>
        <w:t>URE</w:t>
      </w:r>
      <w:r w:rsidR="008D381F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w ramach projektu Kart</w:t>
      </w:r>
      <w:r w:rsidR="00974D40" w:rsidRPr="001F320C">
        <w:rPr>
          <w:rFonts w:ascii="Calibri" w:hAnsi="Calibri" w:cs="Calibri"/>
          <w:color w:val="000000" w:themeColor="text1"/>
          <w:sz w:val="22"/>
          <w:szCs w:val="22"/>
        </w:rPr>
        <w:t>y</w:t>
      </w:r>
      <w:r w:rsidR="008D381F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Efektywnej Transformacji Sieci Dystrybucyjnych Polskiej Energetyki (KET).</w:t>
      </w:r>
    </w:p>
    <w:p w14:paraId="5B528939" w14:textId="77777777" w:rsidR="008D381F" w:rsidRPr="001F320C" w:rsidRDefault="008D381F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1647684" w14:textId="1DD1A1EA" w:rsidR="005A7866" w:rsidRPr="001F320C" w:rsidRDefault="001E3E1D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112B95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Bardzo się cieszę, że </w:t>
      </w:r>
      <w:r w:rsidR="005A7866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z inicjatywy Prezesa Urzędu Regulacji Energetyki rozpoczął się i jest prowadzony dialog nad wypracowaniem zasad umożliwiających optymalne wykorzystanie zasobów na unowocześnienie sieci elektroenergetycznych w naszym kraju i usprawnieniem współpracy pomiędzy uczestnikami rynku energii elektrycznej.</w:t>
      </w:r>
      <w:r w:rsidR="00A1269D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112B95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Jestem przekonana, że przygotowane pod auspicjami Regulatora porozumienie na rzecz rozwoju infrastruktury sieciowej dla potrzeb ładowania pojazdów elektrycznych będzie mocnym impulsem </w:t>
      </w:r>
      <w:r w:rsidR="00754402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przyspieszającym proces jej budowy</w:t>
      </w:r>
      <w:r w:rsidR="00112B95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, co pozwoli zarówno na skuteczne wykorzystanie dostępnych na ten cel środków unijnych, jak i spełnienie wymagań rozporządzenia AFIR</w:t>
      </w:r>
      <w:r w:rsidR="00112B95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– podkreśla Prezes URE, </w:t>
      </w:r>
      <w:r w:rsidR="00112B95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Renata Mroczek</w:t>
      </w:r>
      <w:r w:rsidR="00112B95" w:rsidRPr="001F320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5DEC6E8" w14:textId="77777777" w:rsidR="008D381F" w:rsidRPr="001F320C" w:rsidRDefault="008D381F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1A8F149" w14:textId="7F6D8A95" w:rsidR="00D34FDA" w:rsidRPr="001F320C" w:rsidRDefault="00FC189A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Strony Porozumienia Sektorowego zadeklarowały gotowość współpracy w zakresie wsparcia 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rozbudowy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stacji dużych mocy, jak również r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ozwoju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i modernizacji sieci elektroenergetycznych oraz budowy przyłączy elektroenergetycznych zasilających 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infrastrukturę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dla pojazdów elektrycznych. 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Opracowywanie dokumentu rozpoczęło się w lutym 2025 r. Porozumienie</w:t>
      </w:r>
      <w:r w:rsidR="00775B0D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jest przygotowywan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775B0D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w ramach dedykowanej grupy roboczej z udziałem ekspertów wyznaczonych przez PSNM, PTPIREE oraz GDDKiA. </w:t>
      </w:r>
    </w:p>
    <w:p w14:paraId="7A3ADD9C" w14:textId="77777777" w:rsidR="008B5642" w:rsidRPr="001F320C" w:rsidRDefault="008B5642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BF213C8" w14:textId="155B8C72" w:rsidR="00D34FDA" w:rsidRPr="001F320C" w:rsidRDefault="004A12C3" w:rsidP="001F320C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8B5642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Podpisanie</w:t>
      </w:r>
      <w:r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</w:t>
      </w:r>
      <w:r w:rsidR="008B5642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orozumienia to ważny</w:t>
      </w:r>
      <w:r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krok</w:t>
      </w:r>
      <w:r w:rsidR="008B5642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w budowaniu spójnych zasad rozwoju infrastruktury ładowania pojazdów elektrycznych. </w:t>
      </w:r>
      <w:r w:rsidR="008B5642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Jako operatorzy systemów dystrybucyjnych dostrzegamy kluczową rolę, jaką </w:t>
      </w:r>
      <w:proofErr w:type="spellStart"/>
      <w:r w:rsidR="008B5642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elektromobilność</w:t>
      </w:r>
      <w:proofErr w:type="spellEnd"/>
      <w:r w:rsidR="008B5642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odgrywa w budowie nowoczesnego, niskoemisyjnego systemu transportu. Ścisła współpraca z przedstawicielami branży pozwoli nam lepiej planować rozwój sieci, a także stworzyć fundamenty pod dynamiczny rozwój infrastruktury ładowania w Polsce. Naszym wspólnym celem jest uproszczenie procedur, poprawa transparentności wymiany informacji oraz zapewnienie technicznych warunków dla rozwoju tej infrastruktury </w:t>
      </w:r>
      <w:r w:rsidR="00562D46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00562D46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zaznaczył </w:t>
      </w:r>
      <w:r w:rsidR="00562D46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Maciej Mróz</w:t>
      </w:r>
      <w:r w:rsidR="00562D46" w:rsidRPr="001F320C">
        <w:rPr>
          <w:rFonts w:ascii="Calibri" w:hAnsi="Calibri" w:cs="Calibri"/>
          <w:color w:val="000000" w:themeColor="text1"/>
          <w:sz w:val="22"/>
          <w:szCs w:val="22"/>
        </w:rPr>
        <w:t>, Prezes PTPiREE.</w:t>
      </w:r>
    </w:p>
    <w:p w14:paraId="3C7EF2DE" w14:textId="77777777" w:rsidR="00DF5D94" w:rsidRPr="001F320C" w:rsidRDefault="00DF5D94" w:rsidP="001F320C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171832B3" w14:textId="286A7642" w:rsidR="00DF5D94" w:rsidRPr="001F320C" w:rsidRDefault="00DF5D94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Porozumienie 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może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doprowadzić do znacznej optymalizacji procedur przyłączeniowych. Obecnie realizacja inwestycji związanych z uruchamianiem wielostanowiskowych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hubów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ładowania DC nierzadko trwa nawet ponad 3 lata. Zastosowanie wytycznych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, które zostaną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ujęt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w Porozumieniu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pozwoli w wielu przypadkach przyspieszyć ten proces 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o tygodnie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>, a często nawet miesiąc</w:t>
      </w:r>
      <w:r w:rsidR="00335D66" w:rsidRPr="001F320C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724AB17D" w14:textId="77777777" w:rsidR="00974D40" w:rsidRPr="001F320C" w:rsidRDefault="00974D40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C642D4C" w14:textId="540F0CFD" w:rsidR="007254C2" w:rsidRPr="001F320C" w:rsidRDefault="009B506A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654F73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Opracowanie Porozumienia to potencjalny przełom dla sektora infrastruktury ładowania. </w:t>
      </w:r>
      <w:r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Biorąc pod uwagę znaczenie tego dokumentu dla </w:t>
      </w:r>
      <w:r w:rsidR="00D34FDA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polskiej elektromobilności,</w:t>
      </w:r>
      <w:r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idealnym miejscem </w:t>
      </w:r>
      <w:r w:rsidR="00654F73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na jego oficjalne ogłoszenie</w:t>
      </w:r>
      <w:r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D34FDA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jest Kongres Nowej Mobilności. Na uroczystość podpisania </w:t>
      </w:r>
      <w:r w:rsidR="00212E9C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Porozumienia</w:t>
      </w:r>
      <w:r w:rsidR="00D34FDA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zapraszamy wszystkich zainteresowanych rozwojem </w:t>
      </w:r>
      <w:r w:rsidR="00EC1F48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zrównoważonego transportu</w:t>
      </w:r>
      <w:r w:rsidR="00D34FDA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w Polsce</w:t>
      </w:r>
      <w:r w:rsidR="00DF5D94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. Co istotne</w:t>
      </w:r>
      <w:r w:rsidR="00335D66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="00DF5D94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opracowanie dokumentu </w:t>
      </w:r>
      <w:r w:rsidR="00335D66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będzie </w:t>
      </w:r>
      <w:r w:rsidR="00DF5D94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dopiero pierwszym etapem zacieśnionej współpracy </w:t>
      </w:r>
      <w:r w:rsidR="00335D66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pomiędzy </w:t>
      </w:r>
      <w:r w:rsidR="00DF5D94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>PSNM, PTPiREE, GDDKiA oraz URE. Planujemy już dalsze kroki, które ułatwią proces rozbudowy infrastruktury ładowania</w:t>
      </w:r>
      <w:r w:rsidR="00975E87" w:rsidRPr="001F320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D34FDA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– mówi </w:t>
      </w:r>
      <w:r w:rsidR="00D34FDA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Maciej Mazur</w:t>
      </w:r>
      <w:r w:rsidR="00D34FDA" w:rsidRPr="001F320C">
        <w:rPr>
          <w:rFonts w:ascii="Calibri" w:hAnsi="Calibri" w:cs="Calibri"/>
          <w:color w:val="000000" w:themeColor="text1"/>
          <w:sz w:val="22"/>
          <w:szCs w:val="22"/>
        </w:rPr>
        <w:t>, dyrektor zarządzający PSNM.</w:t>
      </w:r>
    </w:p>
    <w:p w14:paraId="311C5175" w14:textId="77777777" w:rsidR="007254C2" w:rsidRPr="001F320C" w:rsidRDefault="007254C2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CFC3B68" w14:textId="623F6B0E" w:rsidR="00A81217" w:rsidRPr="001F320C" w:rsidRDefault="00A81217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Uroczyste ogłoszenie i podpisanie Porozumienia Sektorowego </w:t>
      </w:r>
      <w:proofErr w:type="gramStart"/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odbędzie</w:t>
      </w:r>
      <w:proofErr w:type="gramEnd"/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się w środę, 24 września o godz. 14:50 na scenie New </w:t>
      </w:r>
      <w:proofErr w:type="spellStart"/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Mobility</w:t>
      </w:r>
      <w:proofErr w:type="spellEnd"/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Stage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. Bezpośrednio po ceremonii podpisania </w:t>
      </w:r>
      <w:r w:rsidR="00D90B34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dokumentu odbędzie się panel dyskusyjny z udziałem przedstawicieli sygnatariuszy Porozumienia. Swój udział w obu punktach programu zapowiedzieli m.in. Wiceminister Klimatu i Środowiska </w:t>
      </w:r>
      <w:r w:rsidR="00D90B34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Krzysztof Bolesta</w:t>
      </w:r>
      <w:r w:rsidR="00D90B34" w:rsidRPr="001F320C">
        <w:rPr>
          <w:rFonts w:ascii="Calibri" w:hAnsi="Calibri" w:cs="Calibri"/>
          <w:color w:val="000000" w:themeColor="text1"/>
          <w:sz w:val="22"/>
          <w:szCs w:val="22"/>
        </w:rPr>
        <w:t>, Prezes Urzędu Regulacji Energetyki</w:t>
      </w:r>
      <w:r w:rsidR="002F6FB7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F6FB7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Renata Mroczek</w:t>
      </w:r>
      <w:r w:rsidR="00D90B34" w:rsidRPr="001F320C">
        <w:rPr>
          <w:rFonts w:ascii="Calibri" w:hAnsi="Calibri" w:cs="Calibri"/>
          <w:color w:val="000000" w:themeColor="text1"/>
          <w:sz w:val="22"/>
          <w:szCs w:val="22"/>
        </w:rPr>
        <w:t>, Zastępca Generalnego Dyrektora Dróg Krajowych i Autostrad</w:t>
      </w:r>
      <w:r w:rsidR="002F6FB7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F6FB7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Piotr Kurkowski</w:t>
      </w:r>
      <w:r w:rsidR="002F6FB7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Prezes PTPiREE </w:t>
      </w:r>
      <w:r w:rsidR="002F6FB7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Maciej Mróz</w:t>
      </w:r>
      <w:r w:rsidR="002F6FB7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dyrektor zarządzający PSNM </w:t>
      </w:r>
      <w:r w:rsidR="002F6FB7" w:rsidRPr="001F320C">
        <w:rPr>
          <w:rFonts w:ascii="Calibri" w:hAnsi="Calibri" w:cs="Calibri"/>
          <w:b/>
          <w:bCs/>
          <w:color w:val="000000" w:themeColor="text1"/>
          <w:sz w:val="22"/>
          <w:szCs w:val="22"/>
        </w:rPr>
        <w:t>Maciej Mazur</w:t>
      </w:r>
      <w:r w:rsidR="006313CD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F6FB7"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oraz czołowi przedstawiciele sektora infrastruktury ładowania. </w:t>
      </w:r>
    </w:p>
    <w:p w14:paraId="0E029E64" w14:textId="77777777" w:rsidR="007254C2" w:rsidRPr="001F320C" w:rsidRDefault="007254C2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779538A" w14:textId="69A2D6AF" w:rsidR="00155887" w:rsidRPr="001F320C" w:rsidRDefault="00155887" w:rsidP="001F320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1F320C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>O Kongresie Nowej Mobilności</w:t>
      </w:r>
    </w:p>
    <w:p w14:paraId="6ACEFC40" w14:textId="77777777" w:rsidR="008D381F" w:rsidRPr="001F320C" w:rsidRDefault="00155887" w:rsidP="001F320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>Kongres Nowej Mobilności 2025 odbędzie się 23-25 września 2025 r. w Międzynarodowym Centrum Kongresowym w Katowicach. To już szósta edycja wydarzenia, która w tym roku zapowiada się rekordowo pod każdym względem: na 10 scenach wystąpi ponad 400 prelegentów w ramach 250 punktów programu. Strefa EXPO obejmie przestrzeń 12 tys. m2.</w:t>
      </w:r>
    </w:p>
    <w:p w14:paraId="58632795" w14:textId="17478CAF" w:rsidR="0058195E" w:rsidRPr="001F320C" w:rsidRDefault="00155887" w:rsidP="001F320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Program KNM 2025 opiera się na sześciu ścieżkach tematycznych, adresujących kluczowe wyzwania transformacji transportu, energetyki, gospodarki i urbanistyki: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Clean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Transport, Urban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Innovation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Sustainable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Growth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Infrastructure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Investments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Climate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Policy, Life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Quality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Health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. Ponadto, w ramach Kongresu Nowej Mobilności odbędzie się szereg wydarzeń towarzyszących, w tym m.in. Forum Mobilności Rowerowej, Forum Pojazdów Zautomatyzowanych i Autonomicznych, New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Mobility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Security Forum, Urban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Air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Mobility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Week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Driving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Sustainable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</w:rPr>
        <w:t>Aviation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</w:rPr>
        <w:t xml:space="preserve"> czy zamknięte wydarzenia wieczorne.</w:t>
      </w:r>
    </w:p>
    <w:p w14:paraId="64165236" w14:textId="77777777" w:rsidR="00246DE6" w:rsidRPr="001F320C" w:rsidRDefault="00246DE6" w:rsidP="001F320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0232E66E" w14:textId="7425AACC" w:rsidR="00C42F10" w:rsidRPr="001F320C" w:rsidRDefault="00155887" w:rsidP="001F320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1F320C">
        <w:rPr>
          <w:rFonts w:ascii="Calibri" w:hAnsi="Calibri" w:cs="Calibri"/>
          <w:color w:val="000000" w:themeColor="text1"/>
          <w:sz w:val="22"/>
          <w:szCs w:val="22"/>
        </w:rPr>
        <w:t>Organizatorem Kongresu Nowej Mobilności jest Polskie Stowarzyszenie Nowej Mobilności (PSNM). Gospodarzem wydarzenia jest Górnośląsko-Zagł</w:t>
      </w:r>
      <w:r w:rsidR="008D381F" w:rsidRPr="001F320C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1F320C">
        <w:rPr>
          <w:rFonts w:ascii="Calibri" w:hAnsi="Calibri" w:cs="Calibri"/>
          <w:color w:val="000000" w:themeColor="text1"/>
          <w:sz w:val="22"/>
          <w:szCs w:val="22"/>
        </w:rPr>
        <w:t>biowska Metropolia, a współgospodarzem Miasto Katowice.</w:t>
      </w:r>
    </w:p>
    <w:p w14:paraId="4D76A30F" w14:textId="77777777" w:rsidR="001F320C" w:rsidRPr="001F320C" w:rsidRDefault="001F320C" w:rsidP="001F320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60368080" w14:textId="77777777" w:rsidR="001F320C" w:rsidRPr="001F320C" w:rsidRDefault="001F320C" w:rsidP="001F320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0EC37F67" w14:textId="77777777" w:rsidR="001F320C" w:rsidRPr="001F320C" w:rsidRDefault="001F320C" w:rsidP="001F320C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F320C">
        <w:rPr>
          <w:rFonts w:ascii="Calibri" w:hAnsi="Calibri" w:cs="Calibri"/>
          <w:sz w:val="22"/>
          <w:szCs w:val="22"/>
        </w:rPr>
        <w:t>--</w:t>
      </w:r>
    </w:p>
    <w:p w14:paraId="7CFB4CC9" w14:textId="77777777" w:rsidR="001F320C" w:rsidRPr="001F320C" w:rsidRDefault="001F320C" w:rsidP="001F32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4FBDA7F7" w14:textId="77777777" w:rsidR="001F320C" w:rsidRPr="001F320C" w:rsidRDefault="001F320C" w:rsidP="001F32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1F320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39E18C9E" w14:textId="77777777" w:rsidR="001F320C" w:rsidRPr="001F320C" w:rsidRDefault="001F320C" w:rsidP="001F32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CDC53BB" w14:textId="77777777" w:rsidR="001F320C" w:rsidRPr="001F320C" w:rsidRDefault="001F320C" w:rsidP="001F32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F320C">
        <w:rPr>
          <w:rStyle w:val="normaltextrun"/>
          <w:rFonts w:ascii="Calibri" w:eastAsiaTheme="majorEastAsia" w:hAnsi="Calibri" w:cs="Calibri"/>
          <w:sz w:val="22"/>
          <w:szCs w:val="22"/>
        </w:rPr>
        <w:t>Maciej Gis, Dyrektor Biura Komunikacji PSNM</w:t>
      </w:r>
    </w:p>
    <w:p w14:paraId="4B84E79A" w14:textId="77777777" w:rsidR="001F320C" w:rsidRPr="001F320C" w:rsidRDefault="001F320C" w:rsidP="001F32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</w:pPr>
      <w:proofErr w:type="spellStart"/>
      <w:r w:rsidRPr="001F320C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>e-mail</w:t>
      </w:r>
      <w:proofErr w:type="spellEnd"/>
      <w:r w:rsidRPr="001F320C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 xml:space="preserve">: </w:t>
      </w:r>
      <w:hyperlink r:id="rId8" w:history="1">
        <w:r w:rsidRPr="001F320C">
          <w:rPr>
            <w:rStyle w:val="Hipercze"/>
            <w:rFonts w:ascii="Calibri" w:hAnsi="Calibri" w:cs="Calibri"/>
            <w:sz w:val="22"/>
            <w:szCs w:val="22"/>
            <w:lang w:val="de-DE"/>
          </w:rPr>
          <w:t>maciej.gis@psnm.org</w:t>
        </w:r>
      </w:hyperlink>
      <w:r w:rsidRPr="001F320C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>; tel.: (+48) 606 740 357</w:t>
      </w:r>
    </w:p>
    <w:p w14:paraId="44B5E167" w14:textId="77777777" w:rsidR="001F320C" w:rsidRPr="001F320C" w:rsidRDefault="001F320C" w:rsidP="001F32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de-DE"/>
        </w:rPr>
      </w:pPr>
    </w:p>
    <w:p w14:paraId="1094F9D2" w14:textId="77777777" w:rsidR="001F320C" w:rsidRPr="001F320C" w:rsidRDefault="001F320C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>Błażej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>Buliński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>, PR Projekt Manager</w:t>
      </w:r>
    </w:p>
    <w:p w14:paraId="3E40B91E" w14:textId="124F463A" w:rsidR="001F320C" w:rsidRPr="001F320C" w:rsidRDefault="001F320C" w:rsidP="001F320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proofErr w:type="spellStart"/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>e-mail</w:t>
      </w:r>
      <w:proofErr w:type="spellEnd"/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: </w:t>
      </w:r>
      <w:hyperlink r:id="rId9" w:history="1">
        <w:r w:rsidRPr="001F320C">
          <w:rPr>
            <w:rStyle w:val="Hipercze"/>
            <w:rFonts w:ascii="Calibri" w:hAnsi="Calibri" w:cs="Calibri"/>
            <w:sz w:val="22"/>
            <w:szCs w:val="22"/>
            <w:lang w:val="de-DE"/>
          </w:rPr>
          <w:t>blazej.bulinski@psnm.org</w:t>
        </w:r>
      </w:hyperlink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>; tel.: (+48) 509 802</w:t>
      </w:r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> </w:t>
      </w:r>
      <w:r w:rsidRPr="001F320C">
        <w:rPr>
          <w:rFonts w:ascii="Calibri" w:hAnsi="Calibri" w:cs="Calibri"/>
          <w:color w:val="000000" w:themeColor="text1"/>
          <w:sz w:val="22"/>
          <w:szCs w:val="22"/>
          <w:lang w:val="de-DE"/>
        </w:rPr>
        <w:t>458</w:t>
      </w:r>
    </w:p>
    <w:p w14:paraId="7F067BDD" w14:textId="06187A74" w:rsidR="00C16EA4" w:rsidRPr="001F320C" w:rsidRDefault="00C16EA4" w:rsidP="001F320C">
      <w:pPr>
        <w:tabs>
          <w:tab w:val="left" w:pos="6424"/>
        </w:tabs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sectPr w:rsidR="00C16EA4" w:rsidRPr="001F320C" w:rsidSect="008E25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23" w:right="1417" w:bottom="13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6EFE" w14:textId="77777777" w:rsidR="003F7408" w:rsidRDefault="003F7408" w:rsidP="0006534A">
      <w:r>
        <w:separator/>
      </w:r>
    </w:p>
  </w:endnote>
  <w:endnote w:type="continuationSeparator" w:id="0">
    <w:p w14:paraId="2BFA81EF" w14:textId="77777777" w:rsidR="003F7408" w:rsidRDefault="003F7408" w:rsidP="0006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BA9A" w14:textId="20CB6C55" w:rsidR="00D37EE3" w:rsidRDefault="00D85E39">
    <w:pPr>
      <w:pStyle w:val="Stopka"/>
    </w:pPr>
    <w:r>
      <w:rPr>
        <w:noProof/>
      </w:rPr>
      <w:drawing>
        <wp:anchor distT="0" distB="0" distL="114300" distR="114300" simplePos="0" relativeHeight="251693056" behindDoc="0" locked="0" layoutInCell="1" allowOverlap="1" wp14:anchorId="3707CEBF" wp14:editId="7605452F">
          <wp:simplePos x="0" y="0"/>
          <wp:positionH relativeFrom="column">
            <wp:posOffset>0</wp:posOffset>
          </wp:positionH>
          <wp:positionV relativeFrom="paragraph">
            <wp:posOffset>38431</wp:posOffset>
          </wp:positionV>
          <wp:extent cx="5760720" cy="222250"/>
          <wp:effectExtent l="0" t="0" r="5080" b="6350"/>
          <wp:wrapNone/>
          <wp:docPr id="181677233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72336" name="Obraz 1816772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4D00" w14:textId="4F86EF7F" w:rsidR="00681AEA" w:rsidRDefault="00D85E39">
    <w:pPr>
      <w:pStyle w:val="Stopka"/>
    </w:pPr>
    <w:r>
      <w:rPr>
        <w:noProof/>
      </w:rPr>
      <w:drawing>
        <wp:anchor distT="0" distB="0" distL="114300" distR="114300" simplePos="0" relativeHeight="251692032" behindDoc="0" locked="0" layoutInCell="1" allowOverlap="1" wp14:anchorId="069EBB46" wp14:editId="754CE4D0">
          <wp:simplePos x="0" y="0"/>
          <wp:positionH relativeFrom="column">
            <wp:posOffset>0</wp:posOffset>
          </wp:positionH>
          <wp:positionV relativeFrom="paragraph">
            <wp:posOffset>38431</wp:posOffset>
          </wp:positionV>
          <wp:extent cx="5760720" cy="222250"/>
          <wp:effectExtent l="0" t="0" r="5080" b="6350"/>
          <wp:wrapNone/>
          <wp:docPr id="2112801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01794" name="Obraz 2112801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0658" w14:textId="77777777" w:rsidR="003F7408" w:rsidRDefault="003F7408" w:rsidP="0006534A">
      <w:r>
        <w:separator/>
      </w:r>
    </w:p>
  </w:footnote>
  <w:footnote w:type="continuationSeparator" w:id="0">
    <w:p w14:paraId="23B18C54" w14:textId="77777777" w:rsidR="003F7408" w:rsidRDefault="003F7408" w:rsidP="0006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0B4C" w14:textId="61F0C589" w:rsidR="0006534A" w:rsidRDefault="003E3446">
    <w:pPr>
      <w:pStyle w:val="Nagwek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A913E7A" wp14:editId="42854CD0">
          <wp:simplePos x="0" y="0"/>
          <wp:positionH relativeFrom="column">
            <wp:posOffset>2815</wp:posOffset>
          </wp:positionH>
          <wp:positionV relativeFrom="paragraph">
            <wp:posOffset>-80612</wp:posOffset>
          </wp:positionV>
          <wp:extent cx="2650240" cy="909320"/>
          <wp:effectExtent l="0" t="0" r="4445" b="5080"/>
          <wp:wrapNone/>
          <wp:docPr id="14542691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6917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0240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B71">
      <w:rPr>
        <w:noProof/>
      </w:rPr>
      <w:drawing>
        <wp:anchor distT="0" distB="0" distL="114300" distR="114300" simplePos="0" relativeHeight="251695104" behindDoc="0" locked="0" layoutInCell="1" allowOverlap="1" wp14:anchorId="0A0B2D47" wp14:editId="6CD6FBBF">
          <wp:simplePos x="0" y="0"/>
          <wp:positionH relativeFrom="column">
            <wp:posOffset>3732495</wp:posOffset>
          </wp:positionH>
          <wp:positionV relativeFrom="paragraph">
            <wp:posOffset>-57693</wp:posOffset>
          </wp:positionV>
          <wp:extent cx="2033863" cy="844984"/>
          <wp:effectExtent l="0" t="0" r="0" b="6350"/>
          <wp:wrapNone/>
          <wp:docPr id="70031679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16791" name="Obraz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953" cy="845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EDB" w:rsidRPr="003D3ED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CDFA" w14:textId="7782E413" w:rsidR="00681AEA" w:rsidRDefault="003E3446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1F9E1712" wp14:editId="596131F2">
          <wp:simplePos x="0" y="0"/>
          <wp:positionH relativeFrom="column">
            <wp:posOffset>3703</wp:posOffset>
          </wp:positionH>
          <wp:positionV relativeFrom="paragraph">
            <wp:posOffset>-104675</wp:posOffset>
          </wp:positionV>
          <wp:extent cx="3338710" cy="1145540"/>
          <wp:effectExtent l="0" t="0" r="1905" b="0"/>
          <wp:wrapNone/>
          <wp:docPr id="6890147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1470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710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0ED">
      <w:rPr>
        <w:noProof/>
      </w:rPr>
      <w:drawing>
        <wp:anchor distT="0" distB="0" distL="114300" distR="114300" simplePos="0" relativeHeight="251689984" behindDoc="0" locked="0" layoutInCell="1" allowOverlap="1" wp14:anchorId="4C055A02" wp14:editId="7374A8D5">
          <wp:simplePos x="0" y="0"/>
          <wp:positionH relativeFrom="column">
            <wp:posOffset>3189884</wp:posOffset>
          </wp:positionH>
          <wp:positionV relativeFrom="paragraph">
            <wp:posOffset>-97888</wp:posOffset>
          </wp:positionV>
          <wp:extent cx="2562190" cy="1064544"/>
          <wp:effectExtent l="0" t="0" r="3810" b="2540"/>
          <wp:wrapNone/>
          <wp:docPr id="13439987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98701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558" cy="1065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A49" w:rsidRPr="00566A49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A94"/>
    <w:multiLevelType w:val="hybridMultilevel"/>
    <w:tmpl w:val="9FC26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1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A"/>
    <w:rsid w:val="00001E14"/>
    <w:rsid w:val="00046110"/>
    <w:rsid w:val="0006534A"/>
    <w:rsid w:val="0007565B"/>
    <w:rsid w:val="000A65FD"/>
    <w:rsid w:val="000A6997"/>
    <w:rsid w:val="000D100E"/>
    <w:rsid w:val="001036ED"/>
    <w:rsid w:val="00112B95"/>
    <w:rsid w:val="0011616B"/>
    <w:rsid w:val="00117BAD"/>
    <w:rsid w:val="001220ED"/>
    <w:rsid w:val="001255FC"/>
    <w:rsid w:val="00155887"/>
    <w:rsid w:val="00170D8E"/>
    <w:rsid w:val="001B7790"/>
    <w:rsid w:val="001C0CCE"/>
    <w:rsid w:val="001D7E19"/>
    <w:rsid w:val="001E3E1D"/>
    <w:rsid w:val="001F320C"/>
    <w:rsid w:val="00212E9C"/>
    <w:rsid w:val="0022065A"/>
    <w:rsid w:val="00246DE6"/>
    <w:rsid w:val="00255EAC"/>
    <w:rsid w:val="00263C17"/>
    <w:rsid w:val="00281CF6"/>
    <w:rsid w:val="00297164"/>
    <w:rsid w:val="002D40D7"/>
    <w:rsid w:val="002F6FB7"/>
    <w:rsid w:val="0033309B"/>
    <w:rsid w:val="00335D66"/>
    <w:rsid w:val="003402A3"/>
    <w:rsid w:val="00365D07"/>
    <w:rsid w:val="003A7D52"/>
    <w:rsid w:val="003D3EDB"/>
    <w:rsid w:val="003D56A2"/>
    <w:rsid w:val="003E3446"/>
    <w:rsid w:val="003F7408"/>
    <w:rsid w:val="0042763A"/>
    <w:rsid w:val="00434EFF"/>
    <w:rsid w:val="00456E0F"/>
    <w:rsid w:val="00470415"/>
    <w:rsid w:val="00490F9A"/>
    <w:rsid w:val="00494A61"/>
    <w:rsid w:val="004A12C3"/>
    <w:rsid w:val="004A7021"/>
    <w:rsid w:val="004C6B52"/>
    <w:rsid w:val="004C72E1"/>
    <w:rsid w:val="004F1F6B"/>
    <w:rsid w:val="004F6DAD"/>
    <w:rsid w:val="0050325E"/>
    <w:rsid w:val="00552B9C"/>
    <w:rsid w:val="00554B71"/>
    <w:rsid w:val="00562D46"/>
    <w:rsid w:val="00566A49"/>
    <w:rsid w:val="0058195E"/>
    <w:rsid w:val="005913BA"/>
    <w:rsid w:val="005A7866"/>
    <w:rsid w:val="005E744C"/>
    <w:rsid w:val="00605094"/>
    <w:rsid w:val="00617F0E"/>
    <w:rsid w:val="006313CD"/>
    <w:rsid w:val="00654F73"/>
    <w:rsid w:val="00676F08"/>
    <w:rsid w:val="00681AEA"/>
    <w:rsid w:val="006B24FF"/>
    <w:rsid w:val="00714B5B"/>
    <w:rsid w:val="00723923"/>
    <w:rsid w:val="007254C2"/>
    <w:rsid w:val="007453F1"/>
    <w:rsid w:val="00754402"/>
    <w:rsid w:val="00757D63"/>
    <w:rsid w:val="007620A6"/>
    <w:rsid w:val="00775B0D"/>
    <w:rsid w:val="00796134"/>
    <w:rsid w:val="00802E60"/>
    <w:rsid w:val="0080430B"/>
    <w:rsid w:val="00830FA3"/>
    <w:rsid w:val="00851A46"/>
    <w:rsid w:val="00857C97"/>
    <w:rsid w:val="0087194C"/>
    <w:rsid w:val="00891928"/>
    <w:rsid w:val="008B46B6"/>
    <w:rsid w:val="008B5642"/>
    <w:rsid w:val="008D28E0"/>
    <w:rsid w:val="008D381F"/>
    <w:rsid w:val="008E2574"/>
    <w:rsid w:val="008E5CF0"/>
    <w:rsid w:val="0093612A"/>
    <w:rsid w:val="0095339E"/>
    <w:rsid w:val="0096553E"/>
    <w:rsid w:val="00974D40"/>
    <w:rsid w:val="00975E87"/>
    <w:rsid w:val="009A3D9E"/>
    <w:rsid w:val="009B506A"/>
    <w:rsid w:val="009C4941"/>
    <w:rsid w:val="009E1CCB"/>
    <w:rsid w:val="009F6B90"/>
    <w:rsid w:val="00A1269D"/>
    <w:rsid w:val="00A200DA"/>
    <w:rsid w:val="00A5621D"/>
    <w:rsid w:val="00A64B52"/>
    <w:rsid w:val="00A80CEC"/>
    <w:rsid w:val="00A81217"/>
    <w:rsid w:val="00A840DA"/>
    <w:rsid w:val="00AA0081"/>
    <w:rsid w:val="00AA5FEF"/>
    <w:rsid w:val="00AA7354"/>
    <w:rsid w:val="00AB12D8"/>
    <w:rsid w:val="00AD0D70"/>
    <w:rsid w:val="00B04115"/>
    <w:rsid w:val="00B872EA"/>
    <w:rsid w:val="00BC0B4E"/>
    <w:rsid w:val="00BD02BC"/>
    <w:rsid w:val="00BF3BBA"/>
    <w:rsid w:val="00C06A92"/>
    <w:rsid w:val="00C16EA4"/>
    <w:rsid w:val="00C2046B"/>
    <w:rsid w:val="00C3631A"/>
    <w:rsid w:val="00C4275B"/>
    <w:rsid w:val="00C42A59"/>
    <w:rsid w:val="00C42F10"/>
    <w:rsid w:val="00C8608C"/>
    <w:rsid w:val="00CA3A9C"/>
    <w:rsid w:val="00CC7A1C"/>
    <w:rsid w:val="00CE010E"/>
    <w:rsid w:val="00CF2B8D"/>
    <w:rsid w:val="00CF3EAF"/>
    <w:rsid w:val="00CF4719"/>
    <w:rsid w:val="00D34FDA"/>
    <w:rsid w:val="00D37EE3"/>
    <w:rsid w:val="00D45E9D"/>
    <w:rsid w:val="00D577AA"/>
    <w:rsid w:val="00D63127"/>
    <w:rsid w:val="00D729A8"/>
    <w:rsid w:val="00D85E39"/>
    <w:rsid w:val="00D90B34"/>
    <w:rsid w:val="00DA23D8"/>
    <w:rsid w:val="00DA4357"/>
    <w:rsid w:val="00DD4573"/>
    <w:rsid w:val="00DF005A"/>
    <w:rsid w:val="00DF5D94"/>
    <w:rsid w:val="00E05B64"/>
    <w:rsid w:val="00E233EE"/>
    <w:rsid w:val="00E74559"/>
    <w:rsid w:val="00E950E8"/>
    <w:rsid w:val="00E97828"/>
    <w:rsid w:val="00EB37DB"/>
    <w:rsid w:val="00EB7B4C"/>
    <w:rsid w:val="00EC1F48"/>
    <w:rsid w:val="00EC29BB"/>
    <w:rsid w:val="00EE6633"/>
    <w:rsid w:val="00F013C2"/>
    <w:rsid w:val="00F25D21"/>
    <w:rsid w:val="00F37D8D"/>
    <w:rsid w:val="00F907A2"/>
    <w:rsid w:val="00FA7165"/>
    <w:rsid w:val="00FB19AE"/>
    <w:rsid w:val="00FB1DF0"/>
    <w:rsid w:val="00FC189A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0AB5"/>
  <w15:chartTrackingRefBased/>
  <w15:docId w15:val="{65D50E37-531F-5E45-BAE0-1A9BD4D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3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34A"/>
  </w:style>
  <w:style w:type="paragraph" w:styleId="Stopka">
    <w:name w:val="footer"/>
    <w:basedOn w:val="Normalny"/>
    <w:link w:val="Stopka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4A"/>
  </w:style>
  <w:style w:type="paragraph" w:customStyle="1" w:styleId="xelementtoproof">
    <w:name w:val="x_elementtoproof"/>
    <w:basedOn w:val="Normalny"/>
    <w:rsid w:val="00A840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xxxxxmsonormal">
    <w:name w:val="x_x_xxxxmsonormal"/>
    <w:basedOn w:val="Normalny"/>
    <w:rsid w:val="00BC0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C0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588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6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6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6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63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B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B9C"/>
    <w:rPr>
      <w:vertAlign w:val="superscript"/>
    </w:rPr>
  </w:style>
  <w:style w:type="paragraph" w:styleId="Poprawka">
    <w:name w:val="Revision"/>
    <w:hidden/>
    <w:uiPriority w:val="99"/>
    <w:semiHidden/>
    <w:rsid w:val="001E3E1D"/>
  </w:style>
  <w:style w:type="character" w:styleId="Hipercze">
    <w:name w:val="Hyperlink"/>
    <w:basedOn w:val="Domylnaczcionkaakapitu"/>
    <w:uiPriority w:val="99"/>
    <w:unhideWhenUsed/>
    <w:rsid w:val="00562D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D4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F32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F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azej.bulinski@psnm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C8B4-BD80-4D80-A7EE-E1E418F8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5</cp:revision>
  <cp:lastPrinted>2025-09-12T10:50:00Z</cp:lastPrinted>
  <dcterms:created xsi:type="dcterms:W3CDTF">2025-09-17T12:21:00Z</dcterms:created>
  <dcterms:modified xsi:type="dcterms:W3CDTF">2025-09-19T08:23:00Z</dcterms:modified>
</cp:coreProperties>
</file>