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9F9801" w14:textId="77777777" w:rsidR="006A6425" w:rsidRDefault="006A6425">
      <w:pPr>
        <w:spacing w:line="240" w:lineRule="auto"/>
        <w:rPr>
          <w:rFonts w:ascii="Direct Sans" w:eastAsia="Direct Sans" w:hAnsi="Direct Sans" w:cs="Direct Sans"/>
          <w:i/>
          <w:iCs/>
          <w:color w:val="004033"/>
          <w:sz w:val="32"/>
          <w:szCs w:val="32"/>
        </w:rPr>
      </w:pPr>
    </w:p>
    <w:p w14:paraId="339712E4" w14:textId="50DF4F83" w:rsidR="006A6425" w:rsidRDefault="00610128">
      <w:pPr>
        <w:spacing w:line="192" w:lineRule="auto"/>
        <w:ind w:right="851"/>
        <w:rPr>
          <w:rFonts w:ascii="Direct Sans Semibold" w:eastAsia="Direct Sans Semibold" w:hAnsi="Direct Sans Semibold" w:cs="Direct Sans Semibold"/>
          <w:b/>
          <w:bCs/>
          <w:color w:val="004033"/>
          <w:sz w:val="60"/>
          <w:szCs w:val="60"/>
        </w:rPr>
      </w:pPr>
      <w:r w:rsidRPr="00610128">
        <w:rPr>
          <w:rFonts w:ascii="Direct Sans Semibold" w:eastAsia="Direct Sans Semibold" w:hAnsi="Direct Sans Semibold" w:cs="Direct Sans Semibold"/>
          <w:b/>
          <w:bCs/>
          <w:color w:val="004033"/>
          <w:sz w:val="60"/>
          <w:szCs w:val="60"/>
        </w:rPr>
        <w:t xml:space="preserve">DIP je lepší než </w:t>
      </w:r>
      <w:proofErr w:type="spellStart"/>
      <w:r w:rsidRPr="00610128">
        <w:rPr>
          <w:rFonts w:ascii="Direct Sans Semibold" w:eastAsia="Direct Sans Semibold" w:hAnsi="Direct Sans Semibold" w:cs="Direct Sans Semibold"/>
          <w:b/>
          <w:bCs/>
          <w:color w:val="004033"/>
          <w:sz w:val="60"/>
          <w:szCs w:val="60"/>
        </w:rPr>
        <w:t>penzijko</w:t>
      </w:r>
      <w:proofErr w:type="spellEnd"/>
      <w:r w:rsidRPr="00610128">
        <w:rPr>
          <w:rFonts w:ascii="Direct Sans Semibold" w:eastAsia="Direct Sans Semibold" w:hAnsi="Direct Sans Semibold" w:cs="Direct Sans Semibold"/>
          <w:b/>
          <w:bCs/>
          <w:color w:val="004033"/>
          <w:sz w:val="60"/>
          <w:szCs w:val="60"/>
        </w:rPr>
        <w:t xml:space="preserve">, říká Direct </w:t>
      </w:r>
      <w:proofErr w:type="spellStart"/>
      <w:r w:rsidRPr="00610128">
        <w:rPr>
          <w:rFonts w:ascii="Direct Sans Semibold" w:eastAsia="Direct Sans Semibold" w:hAnsi="Direct Sans Semibold" w:cs="Direct Sans Semibold"/>
          <w:b/>
          <w:bCs/>
          <w:color w:val="004033"/>
          <w:sz w:val="60"/>
          <w:szCs w:val="60"/>
        </w:rPr>
        <w:t>Fondee</w:t>
      </w:r>
      <w:proofErr w:type="spellEnd"/>
      <w:r w:rsidRPr="00610128">
        <w:rPr>
          <w:rFonts w:ascii="Direct Sans Semibold" w:eastAsia="Direct Sans Semibold" w:hAnsi="Direct Sans Semibold" w:cs="Direct Sans Semibold"/>
          <w:b/>
          <w:bCs/>
          <w:color w:val="004033"/>
          <w:sz w:val="60"/>
          <w:szCs w:val="60"/>
        </w:rPr>
        <w:t xml:space="preserve"> a na svých penzijních účtech snižuje poplatky na 0,3 % ročně</w:t>
      </w:r>
      <w:r>
        <w:rPr>
          <w:rFonts w:ascii="Direct Sans Semibold" w:eastAsia="Direct Sans Semibold" w:hAnsi="Direct Sans Semibold" w:cs="Direct Sans Semibold"/>
          <w:b/>
          <w:bCs/>
          <w:color w:val="004033"/>
          <w:sz w:val="60"/>
          <w:szCs w:val="60"/>
        </w:rPr>
        <w:t>.</w:t>
      </w:r>
      <w:r w:rsidRPr="00610128">
        <w:rPr>
          <w:rFonts w:ascii="Direct Sans Semibold" w:eastAsia="Direct Sans Semibold" w:hAnsi="Direct Sans Semibold" w:cs="Direct Sans Semibold"/>
          <w:b/>
          <w:bCs/>
          <w:color w:val="004033"/>
          <w:sz w:val="60"/>
          <w:szCs w:val="60"/>
        </w:rPr>
        <w:t xml:space="preserve"> </w:t>
      </w:r>
    </w:p>
    <w:p w14:paraId="45BC74F7" w14:textId="5869C235" w:rsidR="006A6425" w:rsidRDefault="00000000">
      <w:pPr>
        <w:spacing w:before="240" w:line="192" w:lineRule="auto"/>
        <w:ind w:right="851"/>
        <w:rPr>
          <w:rFonts w:ascii="Direct Sans Medium" w:eastAsia="Direct Sans Medium" w:hAnsi="Direct Sans Medium" w:cs="Direct Sans Medium"/>
          <w:color w:val="004033"/>
          <w:sz w:val="72"/>
          <w:szCs w:val="72"/>
        </w:rPr>
      </w:pPr>
      <w:r>
        <w:rPr>
          <w:rFonts w:ascii="Direct Sans Medium" w:eastAsia="Direct Sans Medium" w:hAnsi="Direct Sans Medium" w:cs="Direct Sans Medium"/>
          <w:color w:val="004033"/>
          <w:sz w:val="36"/>
          <w:szCs w:val="36"/>
        </w:rPr>
        <w:t xml:space="preserve">Praha, </w:t>
      </w:r>
      <w:r w:rsidR="00610128">
        <w:rPr>
          <w:rFonts w:ascii="Direct Sans Medium" w:eastAsia="Direct Sans Medium" w:hAnsi="Direct Sans Medium" w:cs="Direct Sans Medium"/>
          <w:color w:val="004033"/>
          <w:sz w:val="36"/>
          <w:szCs w:val="36"/>
        </w:rPr>
        <w:t>15</w:t>
      </w:r>
      <w:r>
        <w:rPr>
          <w:rFonts w:ascii="Direct Sans Medium" w:eastAsia="Direct Sans Medium" w:hAnsi="Direct Sans Medium" w:cs="Direct Sans Medium"/>
          <w:color w:val="004033"/>
          <w:sz w:val="36"/>
          <w:szCs w:val="36"/>
        </w:rPr>
        <w:t xml:space="preserve">. </w:t>
      </w:r>
      <w:r w:rsidR="00610128">
        <w:rPr>
          <w:rFonts w:ascii="Direct Sans Medium" w:eastAsia="Direct Sans Medium" w:hAnsi="Direct Sans Medium" w:cs="Direct Sans Medium"/>
          <w:color w:val="004033"/>
          <w:sz w:val="36"/>
          <w:szCs w:val="36"/>
        </w:rPr>
        <w:t>září</w:t>
      </w:r>
      <w:r>
        <w:rPr>
          <w:rFonts w:ascii="Direct Sans Medium" w:eastAsia="Direct Sans Medium" w:hAnsi="Direct Sans Medium" w:cs="Direct Sans Medium"/>
          <w:color w:val="004033"/>
          <w:sz w:val="36"/>
          <w:szCs w:val="36"/>
        </w:rPr>
        <w:t xml:space="preserve"> 2026 – </w:t>
      </w:r>
      <w:r w:rsidR="00610128" w:rsidRPr="00610128">
        <w:rPr>
          <w:rFonts w:ascii="Direct Sans Medium" w:eastAsia="Direct Sans Medium" w:hAnsi="Direct Sans Medium" w:cs="Direct Sans Medium"/>
          <w:color w:val="004033"/>
          <w:sz w:val="36"/>
          <w:szCs w:val="36"/>
        </w:rPr>
        <w:t xml:space="preserve">Kdo už u Direct </w:t>
      </w:r>
      <w:proofErr w:type="spellStart"/>
      <w:r w:rsidR="00610128" w:rsidRPr="00610128">
        <w:rPr>
          <w:rFonts w:ascii="Direct Sans Medium" w:eastAsia="Direct Sans Medium" w:hAnsi="Direct Sans Medium" w:cs="Direct Sans Medium"/>
          <w:color w:val="004033"/>
          <w:sz w:val="36"/>
          <w:szCs w:val="36"/>
        </w:rPr>
        <w:t>Fondee</w:t>
      </w:r>
      <w:proofErr w:type="spellEnd"/>
      <w:r w:rsidR="00610128" w:rsidRPr="00610128">
        <w:rPr>
          <w:rFonts w:ascii="Direct Sans Medium" w:eastAsia="Direct Sans Medium" w:hAnsi="Direct Sans Medium" w:cs="Direct Sans Medium"/>
          <w:color w:val="004033"/>
          <w:sz w:val="36"/>
          <w:szCs w:val="36"/>
        </w:rPr>
        <w:t xml:space="preserve"> má nebo si teprve založí dlouhodobý investiční produkt, bude na penzi investovat výhodněji než dřív. Investiční platforma na svých penzijních účtech snižuje roční poplatek z 0,61 % na 0,3 % včetně DPH. Změna se bude týkat už vyúčtování za září a platit bude nejen v Česku, ale i na Slovensku a Polsku, kde společnost zvýhodněné investiční účty na důchod také nabízí.</w:t>
      </w:r>
    </w:p>
    <w:p w14:paraId="0C25880F" w14:textId="77777777" w:rsidR="00610128" w:rsidRDefault="00610128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</w:p>
    <w:p w14:paraId="5F1F1F9F" w14:textId="77777777" w:rsidR="00610128" w:rsidRDefault="00610128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Podle výkonné ředitelky Direct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Laureen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Höllge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tímto krokem firma reaguje na chystané změny v penzijním spoření. „Debata kolem lepšího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penzijka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mohla v mnoha lidech vyvolat dojem, že penzijní spoření zajistí spokojený důchod. Jenže tak to ani po reformě nebude. Realistický předpoklad průměrného zhodnocení pro ta nejdynamičtější penzijní spoření je 6-7 % ročně, což je po započtení poplatků jen pár procent nad inflací. Přitom dlouhodobé průměrné zhodnocení našich penzijních investičních účtů je přes 10 % za obdobného rizika. Snížením poplatků chceme podtrhnout, že DIP je pro mnohé lepší volbou s většinou výhod třetího důchodového pilíře,“ říká.</w:t>
      </w:r>
    </w:p>
    <w:p w14:paraId="5BCEDD88" w14:textId="77777777" w:rsidR="00610128" w:rsidRPr="00610128" w:rsidRDefault="00610128" w:rsidP="00610128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Mechanismus dlouhodobého investičního produktu byl do českého třetího důchodového pilíře zaveden na začátku roku 2024. Narozdíl od penzijního spoření nejde o jasně vymezený finanční produkt, nýbrž režim, který zvýhodňuje investiční nástroj, pokud je jeho účelem dlouhodobá příprava na stáří. Do čeho a za jakých podmínek tedy peníze putují, je na samotném střadateli. Stejně jako v případě penzijního spoření lze příspěvky do DIP odečítat z daní a čerpat příspěvky od zaměstnavatele. Rozdílem je absence státních příspěvků.</w:t>
      </w:r>
    </w:p>
    <w:p w14:paraId="2A158598" w14:textId="77777777" w:rsidR="00610128" w:rsidRPr="00610128" w:rsidRDefault="00610128" w:rsidP="00610128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</w:p>
    <w:p w14:paraId="6A50575E" w14:textId="3DB4B3FD" w:rsidR="00610128" w:rsidRPr="00610128" w:rsidRDefault="00610128" w:rsidP="00610128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lastRenderedPageBreak/>
        <w:t xml:space="preserve">„V minulosti i nyní v souvislosti s reformou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penzijka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se intenzivně řeší výše státního příspěvku, který ale vždy bude mít na finální bilanci účtů jen omezený vliv. Snížením poplatků na našich penzijních investičních účtech chceme zdůraznit, že v prvé řadě má jít především o to, kde má člověk šanci své peníze nejvíce zhodnotit po započtení poplatků a zohlednění rizika. A v tom DIP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penzijko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trumfuje teď a bude trumfovat i po reformě,“ dodává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Höllge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.</w:t>
      </w:r>
    </w:p>
    <w:p w14:paraId="2AC9C3C6" w14:textId="6F8ADFB2" w:rsidR="00610128" w:rsidRPr="00610128" w:rsidRDefault="00610128" w:rsidP="00610128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Poplatky na penzijních účtech Direct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se klientům sníží automaticky, aniž by museli o cokoliv aktivně žádat. Poplatky u ostatních typů účtů Direct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zůstávají beze změny, tedy 0,24 % v případě investičního účtu pro děti, 0,61 % pro studenty a 1,09 % pro standardní účty včetně DPH. </w:t>
      </w:r>
    </w:p>
    <w:p w14:paraId="49196403" w14:textId="5390A52D" w:rsidR="006A6425" w:rsidRDefault="00610128" w:rsidP="00610128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I na nich lze ovšem investovat s nižším až 0,7% poplatkem, a to díky úrovním Premium a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Platinum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, které platforma zavedla letos v srpnu. Ty získávají klienti, jejichž účty u Direct </w:t>
      </w:r>
      <w:proofErr w:type="spellStart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 w:rsidRPr="00610128">
        <w:rPr>
          <w:rFonts w:ascii="Direct Sans" w:eastAsia="Direct Sans" w:hAnsi="Direct Sans" w:cs="Direct Sans"/>
          <w:color w:val="004033"/>
          <w:sz w:val="20"/>
          <w:szCs w:val="20"/>
        </w:rPr>
        <w:t xml:space="preserve"> v součtu překonají určitou hodnotu, či ti, kteří investují každý měsíc více než 10 000 Kč.</w:t>
      </w:r>
    </w:p>
    <w:p w14:paraId="28E4E0A5" w14:textId="77777777" w:rsidR="00610128" w:rsidRDefault="00610128" w:rsidP="00610128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</w:p>
    <w:p w14:paraId="6E1EADBD" w14:textId="77777777" w:rsidR="006A6425" w:rsidRDefault="00000000">
      <w:pPr>
        <w:spacing w:line="240" w:lineRule="auto"/>
        <w:rPr>
          <w:rFonts w:ascii="Direct Sans" w:eastAsia="Direct Sans" w:hAnsi="Direct Sans" w:cs="Direct Sans"/>
          <w:b/>
          <w:bCs/>
          <w:color w:val="004033"/>
          <w:sz w:val="20"/>
          <w:szCs w:val="20"/>
        </w:rPr>
      </w:pPr>
      <w:r>
        <w:rPr>
          <w:rFonts w:ascii="Direct Sans" w:eastAsia="Direct Sans" w:hAnsi="Direct Sans" w:cs="Direct Sans"/>
          <w:b/>
          <w:bCs/>
          <w:color w:val="004033"/>
          <w:sz w:val="20"/>
          <w:szCs w:val="20"/>
        </w:rPr>
        <w:t xml:space="preserve">O Direct </w:t>
      </w:r>
      <w:proofErr w:type="spellStart"/>
      <w:r>
        <w:rPr>
          <w:rFonts w:ascii="Direct Sans" w:eastAsia="Direct Sans" w:hAnsi="Direct Sans" w:cs="Direct Sans"/>
          <w:b/>
          <w:bCs/>
          <w:color w:val="004033"/>
          <w:sz w:val="20"/>
          <w:szCs w:val="20"/>
        </w:rPr>
        <w:t>Fondee</w:t>
      </w:r>
      <w:proofErr w:type="spellEnd"/>
    </w:p>
    <w:p w14:paraId="29FC2605" w14:textId="77777777" w:rsidR="006A6425" w:rsidRDefault="00000000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  <w:r>
        <w:rPr>
          <w:rFonts w:ascii="Direct Sans" w:eastAsia="Direct Sans" w:hAnsi="Direct Sans" w:cs="Direct Sans"/>
          <w:color w:val="004033"/>
          <w:sz w:val="20"/>
          <w:szCs w:val="20"/>
        </w:rPr>
        <w:t xml:space="preserve">Direct </w:t>
      </w:r>
      <w:proofErr w:type="spellStart"/>
      <w:r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>
        <w:rPr>
          <w:rFonts w:ascii="Direct Sans" w:eastAsia="Direct Sans" w:hAnsi="Direct Sans" w:cs="Direct Sans"/>
          <w:color w:val="004033"/>
          <w:sz w:val="20"/>
          <w:szCs w:val="20"/>
        </w:rPr>
        <w:t xml:space="preserve"> je online služba pro jednoduché investování do fondů akcií a dluhopisů. Pomáhá zejména těm, kterým leží peníze na běžných účtech a hledají snadnou a efektivní cestu jejich zhodnocení. Direct </w:t>
      </w:r>
      <w:proofErr w:type="spellStart"/>
      <w:r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>
        <w:rPr>
          <w:rFonts w:ascii="Direct Sans" w:eastAsia="Direct Sans" w:hAnsi="Direct Sans" w:cs="Direct Sans"/>
          <w:color w:val="004033"/>
          <w:sz w:val="20"/>
          <w:szCs w:val="20"/>
        </w:rPr>
        <w:t xml:space="preserve"> pro ně zprostředkuje investice do fondů sdružujících akcie a dluhopisy. Registrace probíhá online, klient si jen vybere typ portfolia a zbytek už je bez starostí. Direct </w:t>
      </w:r>
      <w:proofErr w:type="spellStart"/>
      <w:r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>
        <w:rPr>
          <w:rFonts w:ascii="Direct Sans" w:eastAsia="Direct Sans" w:hAnsi="Direct Sans" w:cs="Direct Sans"/>
          <w:color w:val="004033"/>
          <w:sz w:val="20"/>
          <w:szCs w:val="20"/>
        </w:rPr>
        <w:t xml:space="preserve"> portfolia jsou dostupná také v ESG formě. Projekt v roce 2017 založili Eva a Honza Hlavsovi, kteří získali zkušenosti ve financích v londýnské City a chtěli lidem investování zpřístupnit. V roce 2021 získali pro svůj startup milion eur od skupiny soukromých investorů a J&amp;T Banky, která se zároveň stala brokerem platformy. Od ledna 2022 Direct </w:t>
      </w:r>
      <w:proofErr w:type="spellStart"/>
      <w:r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>
        <w:rPr>
          <w:rFonts w:ascii="Direct Sans" w:eastAsia="Direct Sans" w:hAnsi="Direct Sans" w:cs="Direct Sans"/>
          <w:color w:val="004033"/>
          <w:sz w:val="20"/>
          <w:szCs w:val="20"/>
        </w:rPr>
        <w:t xml:space="preserve"> působí také na Slovensku, od ledna 2023 i v Polsku. Od roku 2024 je </w:t>
      </w:r>
      <w:proofErr w:type="spellStart"/>
      <w:r>
        <w:rPr>
          <w:rFonts w:ascii="Direct Sans" w:eastAsia="Direct Sans" w:hAnsi="Direct Sans" w:cs="Direct Sans"/>
          <w:color w:val="004033"/>
          <w:sz w:val="20"/>
          <w:szCs w:val="20"/>
        </w:rPr>
        <w:t>Fondee</w:t>
      </w:r>
      <w:proofErr w:type="spellEnd"/>
      <w:r>
        <w:rPr>
          <w:rFonts w:ascii="Direct Sans" w:eastAsia="Direct Sans" w:hAnsi="Direct Sans" w:cs="Direct Sans"/>
          <w:color w:val="004033"/>
          <w:sz w:val="20"/>
          <w:szCs w:val="20"/>
        </w:rPr>
        <w:t xml:space="preserve"> součástí skupiny Direct.</w:t>
      </w:r>
    </w:p>
    <w:p w14:paraId="494B591E" w14:textId="77777777" w:rsidR="006A6425" w:rsidRDefault="00000000">
      <w:pPr>
        <w:spacing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  <w:hyperlink r:id="rId7">
        <w:r>
          <w:rPr>
            <w:rFonts w:ascii="Direct Sans" w:eastAsia="Direct Sans" w:hAnsi="Direct Sans" w:cs="Direct Sans"/>
            <w:color w:val="1155CC"/>
            <w:sz w:val="20"/>
            <w:szCs w:val="20"/>
            <w:u w:val="single"/>
          </w:rPr>
          <w:t>www.fondee.cz</w:t>
        </w:r>
      </w:hyperlink>
    </w:p>
    <w:p w14:paraId="6AA6C2CA" w14:textId="77777777" w:rsidR="006A6425" w:rsidRDefault="00000000">
      <w:pPr>
        <w:spacing w:line="240" w:lineRule="auto"/>
        <w:jc w:val="right"/>
        <w:rPr>
          <w:rFonts w:ascii="Direct Sans" w:eastAsia="Direct Sans" w:hAnsi="Direct Sans" w:cs="Direct Sans"/>
          <w:color w:val="004033"/>
          <w:sz w:val="20"/>
          <w:szCs w:val="20"/>
        </w:rPr>
      </w:pPr>
      <w:r>
        <w:rPr>
          <w:rFonts w:ascii="Direct Sans" w:eastAsia="Direct Sans" w:hAnsi="Direct Sans" w:cs="Direct Sans"/>
          <w:color w:val="004033"/>
          <w:sz w:val="20"/>
          <w:szCs w:val="20"/>
        </w:rPr>
        <w:t>Kontakt pro média</w:t>
      </w:r>
    </w:p>
    <w:p w14:paraId="1A8BB8FE" w14:textId="77777777" w:rsidR="006A6425" w:rsidRDefault="00000000">
      <w:pPr>
        <w:spacing w:line="240" w:lineRule="auto"/>
        <w:jc w:val="right"/>
        <w:rPr>
          <w:rFonts w:ascii="Direct Sans" w:eastAsia="Direct Sans" w:hAnsi="Direct Sans" w:cs="Direct Sans"/>
          <w:color w:val="004033"/>
          <w:sz w:val="20"/>
          <w:szCs w:val="20"/>
        </w:rPr>
      </w:pPr>
      <w:r>
        <w:rPr>
          <w:rFonts w:ascii="Direct Sans" w:eastAsia="Direct Sans" w:hAnsi="Direct Sans" w:cs="Direct Sans"/>
          <w:color w:val="004033"/>
          <w:sz w:val="20"/>
          <w:szCs w:val="20"/>
        </w:rPr>
        <w:t>Kateřina Márová</w:t>
      </w:r>
    </w:p>
    <w:p w14:paraId="7D44BA8B" w14:textId="77777777" w:rsidR="006A6425" w:rsidRDefault="00000000">
      <w:pPr>
        <w:spacing w:line="240" w:lineRule="auto"/>
        <w:jc w:val="right"/>
        <w:rPr>
          <w:rFonts w:ascii="Direct Sans" w:eastAsia="Direct Sans" w:hAnsi="Direct Sans" w:cs="Direct Sans"/>
          <w:color w:val="004033"/>
          <w:sz w:val="20"/>
          <w:szCs w:val="20"/>
        </w:rPr>
      </w:pPr>
      <w:r>
        <w:rPr>
          <w:rFonts w:ascii="Direct Sans" w:eastAsia="Direct Sans" w:hAnsi="Direct Sans" w:cs="Direct Sans"/>
          <w:color w:val="004033"/>
          <w:sz w:val="20"/>
          <w:szCs w:val="20"/>
        </w:rPr>
        <w:t>katerina.marova@direct.cz</w:t>
      </w:r>
    </w:p>
    <w:p w14:paraId="50B55145" w14:textId="77777777" w:rsidR="006A6425" w:rsidRDefault="006A6425">
      <w:pPr>
        <w:spacing w:before="480"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</w:p>
    <w:p w14:paraId="56FB97C3" w14:textId="77777777" w:rsidR="006A6425" w:rsidRDefault="006A6425">
      <w:pPr>
        <w:spacing w:after="0" w:line="240" w:lineRule="auto"/>
        <w:rPr>
          <w:rFonts w:ascii="Direct Sans" w:eastAsia="Direct Sans" w:hAnsi="Direct Sans" w:cs="Direct Sans"/>
          <w:color w:val="004033"/>
          <w:sz w:val="20"/>
          <w:szCs w:val="20"/>
        </w:rPr>
      </w:pPr>
    </w:p>
    <w:sectPr w:rsidR="006A64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3376C4" w14:textId="77777777" w:rsidR="00ED02AF" w:rsidRDefault="00ED02AF">
      <w:pPr>
        <w:spacing w:after="0" w:line="240" w:lineRule="auto"/>
      </w:pPr>
      <w:r>
        <w:separator/>
      </w:r>
    </w:p>
  </w:endnote>
  <w:endnote w:type="continuationSeparator" w:id="0">
    <w:p w14:paraId="0C0DCD71" w14:textId="77777777" w:rsidR="00ED02AF" w:rsidRDefault="00ED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981E4D6F-C1C3-794A-994F-55E9AF463B23}"/>
    <w:embedBold r:id="rId2" w:fontKey="{0330DCE1-1DC8-264C-B181-98DF293FA119}"/>
    <w:embedItalic r:id="rId3" w:fontKey="{DD0420A1-6A26-4946-870D-F44E3C6F975C}"/>
  </w:font>
  <w:font w:name="Play">
    <w:charset w:val="00"/>
    <w:family w:val="auto"/>
    <w:pitch w:val="default"/>
    <w:embedRegular r:id="rId4" w:fontKey="{24A67AE1-C30D-044E-A569-765CB56BF2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7652704-519C-8849-B280-2CAD065EC73B}"/>
  </w:font>
  <w:font w:name="Direct Sans">
    <w:panose1 w:val="00000000000000000000"/>
    <w:charset w:val="00"/>
    <w:family w:val="auto"/>
    <w:pitch w:val="variable"/>
    <w:sig w:usb0="A00000FF" w:usb1="4000206B" w:usb2="00000000" w:usb3="00000000" w:csb0="00000093" w:csb1="00000000"/>
    <w:embedRegular r:id="rId6" w:fontKey="{45BE08E1-91AB-0147-BD7C-3F693508D52B}"/>
    <w:embedBold r:id="rId7" w:fontKey="{66E5C502-878F-5949-B262-92E0E339238C}"/>
    <w:embedItalic r:id="rId8" w:fontKey="{1FEF2865-1B92-C544-AED7-33D6D7E9B644}"/>
  </w:font>
  <w:font w:name="Direct Sans Semibold">
    <w:panose1 w:val="00000000000000000000"/>
    <w:charset w:val="00"/>
    <w:family w:val="auto"/>
    <w:pitch w:val="variable"/>
    <w:sig w:usb0="A00000FF" w:usb1="4000206B" w:usb2="00000000" w:usb3="00000000" w:csb0="00000093" w:csb1="00000000"/>
    <w:embedBold r:id="rId9" w:fontKey="{9066B690-44A8-AD4F-96BF-7CB407E7FB80}"/>
  </w:font>
  <w:font w:name="Direct Sans Medium">
    <w:panose1 w:val="00000000000000000000"/>
    <w:charset w:val="00"/>
    <w:family w:val="auto"/>
    <w:pitch w:val="variable"/>
    <w:sig w:usb0="A00000FF" w:usb1="4000206B" w:usb2="00000000" w:usb3="00000000" w:csb0="00000093" w:csb1="00000000"/>
    <w:embedRegular r:id="rId10" w:fontKey="{8D3691D8-E790-5045-8EFE-531793BF04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9FA163A5-5962-5141-B8BD-34BC391E5F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2E51D0BC-B975-9D44-9D43-FD4B643CB9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2F6CD" w14:textId="77777777" w:rsidR="006A6425" w:rsidRDefault="006A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0920EF" w14:textId="77777777" w:rsidR="006A6425" w:rsidRDefault="006A6425"/>
  <w:tbl>
    <w:tblPr>
      <w:tblStyle w:val="a0"/>
      <w:tblpPr w:leftFromText="141" w:rightFromText="141" w:vertAnchor="text" w:tblpX="-84" w:tblpY="1"/>
      <w:tblW w:w="9496" w:type="dxa"/>
      <w:tblInd w:w="0" w:type="dxa"/>
      <w:tblLayout w:type="fixed"/>
      <w:tblLook w:val="0600" w:firstRow="0" w:lastRow="0" w:firstColumn="0" w:lastColumn="0" w:noHBand="1" w:noVBand="1"/>
    </w:tblPr>
    <w:tblGrid>
      <w:gridCol w:w="4111"/>
      <w:gridCol w:w="3260"/>
      <w:gridCol w:w="2125"/>
    </w:tblGrid>
    <w:tr w:rsidR="006A6425" w14:paraId="2BC28E11" w14:textId="77777777" w:rsidTr="006A6425">
      <w:trPr>
        <w:trHeight w:val="568"/>
      </w:trPr>
      <w:tc>
        <w:tcPr>
          <w:tcW w:w="4111" w:type="dxa"/>
          <w:vAlign w:val="center"/>
        </w:tcPr>
        <w:p w14:paraId="5141438B" w14:textId="77777777" w:rsidR="006A6425" w:rsidRDefault="00000000">
          <w:pPr>
            <w:ind w:left="113"/>
            <w:rPr>
              <w:rFonts w:ascii="Direct Sans" w:eastAsia="Direct Sans" w:hAnsi="Direct Sans" w:cs="Direct Sans"/>
              <w:color w:val="001C16"/>
              <w:sz w:val="14"/>
              <w:szCs w:val="14"/>
            </w:rPr>
          </w:pPr>
          <w:r>
            <w:rPr>
              <w:rFonts w:ascii="Direct Sans" w:eastAsia="Direct Sans" w:hAnsi="Direct Sans" w:cs="Direct Sans"/>
              <w:color w:val="001C16"/>
              <w:sz w:val="14"/>
              <w:szCs w:val="14"/>
            </w:rPr>
            <w:t xml:space="preserve">Direct </w:t>
          </w:r>
          <w:proofErr w:type="spellStart"/>
          <w:r>
            <w:rPr>
              <w:rFonts w:ascii="Direct Sans" w:eastAsia="Direct Sans" w:hAnsi="Direct Sans" w:cs="Direct Sans"/>
              <w:color w:val="001C16"/>
              <w:sz w:val="14"/>
              <w:szCs w:val="14"/>
            </w:rPr>
            <w:t>Fondee</w:t>
          </w:r>
          <w:proofErr w:type="spellEnd"/>
          <w:r>
            <w:rPr>
              <w:rFonts w:ascii="Direct Sans" w:eastAsia="Direct Sans" w:hAnsi="Direct Sans" w:cs="Direct Sans"/>
              <w:color w:val="001C16"/>
              <w:sz w:val="14"/>
              <w:szCs w:val="14"/>
            </w:rPr>
            <w:t xml:space="preserve"> a.s.</w:t>
          </w:r>
        </w:p>
        <w:p w14:paraId="4FC919B7" w14:textId="77777777" w:rsidR="006A6425" w:rsidRDefault="00000000">
          <w:pPr>
            <w:ind w:left="113"/>
            <w:rPr>
              <w:rFonts w:ascii="Direct Sans" w:eastAsia="Direct Sans" w:hAnsi="Direct Sans" w:cs="Direct Sans"/>
              <w:color w:val="004033"/>
              <w:sz w:val="20"/>
              <w:szCs w:val="20"/>
            </w:rPr>
          </w:pPr>
          <w:r>
            <w:rPr>
              <w:rFonts w:ascii="Direct Sans" w:eastAsia="Direct Sans" w:hAnsi="Direct Sans" w:cs="Direct Sans"/>
              <w:color w:val="001C16"/>
              <w:sz w:val="14"/>
              <w:szCs w:val="14"/>
            </w:rPr>
            <w:t>Pod dráhou 1636/1 170 00 Praha 7 – Holešovice</w:t>
          </w:r>
        </w:p>
      </w:tc>
      <w:tc>
        <w:tcPr>
          <w:tcW w:w="3260" w:type="dxa"/>
          <w:vAlign w:val="center"/>
        </w:tcPr>
        <w:p w14:paraId="70EC62BC" w14:textId="77777777" w:rsidR="006A6425" w:rsidRDefault="00000000">
          <w:pPr>
            <w:ind w:left="113"/>
            <w:rPr>
              <w:color w:val="001B15"/>
            </w:rPr>
          </w:pPr>
          <w:hyperlink r:id="rId1">
            <w:r>
              <w:rPr>
                <w:rFonts w:ascii="Direct Sans" w:eastAsia="Direct Sans" w:hAnsi="Direct Sans" w:cs="Direct Sans"/>
                <w:color w:val="001B15"/>
                <w:sz w:val="14"/>
                <w:szCs w:val="14"/>
              </w:rPr>
              <w:t>info@fondee.cz</w:t>
            </w:r>
          </w:hyperlink>
        </w:p>
        <w:p w14:paraId="3794BDA9" w14:textId="77777777" w:rsidR="006A6425" w:rsidRDefault="00000000">
          <w:pPr>
            <w:ind w:left="113"/>
            <w:rPr>
              <w:rFonts w:ascii="Direct Sans" w:eastAsia="Direct Sans" w:hAnsi="Direct Sans" w:cs="Direct Sans"/>
              <w:color w:val="001B15"/>
              <w:sz w:val="20"/>
              <w:szCs w:val="20"/>
            </w:rPr>
          </w:pPr>
          <w:r>
            <w:rPr>
              <w:rFonts w:ascii="Direct Sans" w:eastAsia="Direct Sans" w:hAnsi="Direct Sans" w:cs="Direct Sans"/>
              <w:color w:val="001B15"/>
              <w:sz w:val="14"/>
              <w:szCs w:val="14"/>
            </w:rPr>
            <w:t>www.fondee.cz</w:t>
          </w:r>
          <w:r>
            <w:rPr>
              <w:rFonts w:ascii="Direct Sans" w:eastAsia="Direct Sans" w:hAnsi="Direct Sans" w:cs="Direct Sans"/>
              <w:color w:val="001B15"/>
              <w:sz w:val="14"/>
              <w:szCs w:val="14"/>
            </w:rPr>
            <w:tab/>
          </w:r>
        </w:p>
      </w:tc>
      <w:tc>
        <w:tcPr>
          <w:tcW w:w="2125" w:type="dxa"/>
          <w:vAlign w:val="center"/>
        </w:tcPr>
        <w:p w14:paraId="603CBD81" w14:textId="77777777" w:rsidR="006A6425" w:rsidRDefault="00000000">
          <w:pPr>
            <w:ind w:left="113"/>
            <w:rPr>
              <w:rFonts w:ascii="Direct Sans" w:eastAsia="Direct Sans" w:hAnsi="Direct Sans" w:cs="Direct Sans"/>
              <w:color w:val="001C16"/>
              <w:sz w:val="14"/>
              <w:szCs w:val="14"/>
            </w:rPr>
          </w:pPr>
          <w:r>
            <w:rPr>
              <w:rFonts w:ascii="Direct Sans" w:eastAsia="Direct Sans" w:hAnsi="Direct Sans" w:cs="Direct Sans"/>
              <w:color w:val="001C16"/>
              <w:sz w:val="14"/>
              <w:szCs w:val="14"/>
            </w:rPr>
            <w:t>IČO: 06691862</w:t>
          </w:r>
        </w:p>
        <w:p w14:paraId="153EF826" w14:textId="77777777" w:rsidR="006A6425" w:rsidRDefault="00000000">
          <w:pPr>
            <w:ind w:left="113"/>
            <w:rPr>
              <w:rFonts w:ascii="Direct Sans" w:eastAsia="Direct Sans" w:hAnsi="Direct Sans" w:cs="Direct Sans"/>
              <w:color w:val="004033"/>
              <w:sz w:val="20"/>
              <w:szCs w:val="20"/>
            </w:rPr>
          </w:pPr>
          <w:r>
            <w:rPr>
              <w:rFonts w:ascii="Direct Sans" w:eastAsia="Direct Sans" w:hAnsi="Direct Sans" w:cs="Direct Sans"/>
              <w:color w:val="001C16"/>
              <w:sz w:val="14"/>
              <w:szCs w:val="14"/>
            </w:rPr>
            <w:t>DIČ: CZ06691862</w:t>
          </w:r>
        </w:p>
      </w:tc>
    </w:tr>
  </w:tbl>
  <w:p w14:paraId="61D0E7DB" w14:textId="77777777" w:rsidR="006A6425" w:rsidRDefault="006A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D55BB3" w14:textId="77777777" w:rsidR="006A6425" w:rsidRDefault="006A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3FF92E" w14:textId="77777777" w:rsidR="00ED02AF" w:rsidRDefault="00ED02AF">
      <w:pPr>
        <w:spacing w:after="0" w:line="240" w:lineRule="auto"/>
      </w:pPr>
      <w:r>
        <w:separator/>
      </w:r>
    </w:p>
  </w:footnote>
  <w:footnote w:type="continuationSeparator" w:id="0">
    <w:p w14:paraId="2F6A00C0" w14:textId="77777777" w:rsidR="00ED02AF" w:rsidRDefault="00ED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07C47D" w14:textId="77777777" w:rsidR="006A6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2464414B" wp14:editId="35299537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05790" cy="379730"/>
              <wp:effectExtent l="0" t="0" r="0" b="0"/>
              <wp:wrapNone/>
              <wp:docPr id="1" name="Obdélník 1" descr="Interní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47868" y="3594898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D3F8C" w14:textId="77777777" w:rsidR="006A6425" w:rsidRDefault="00000000">
                          <w:pPr>
                            <w:spacing w:after="0" w:line="277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Interní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05790" cy="379730"/>
              <wp:effectExtent b="0" l="0" r="0" t="0"/>
              <wp:wrapNone/>
              <wp:docPr descr="Interní" id="1" name="image2.png"/>
              <a:graphic>
                <a:graphicData uri="http://schemas.openxmlformats.org/drawingml/2006/picture">
                  <pic:pic>
                    <pic:nvPicPr>
                      <pic:cNvPr descr="Interní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5790" cy="3797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C7DEFE" w14:textId="77777777" w:rsidR="006A6425" w:rsidRDefault="00000000">
    <w:pPr>
      <w:tabs>
        <w:tab w:val="left" w:pos="850"/>
        <w:tab w:val="right" w:pos="9072"/>
      </w:tabs>
      <w:spacing w:before="820" w:line="240" w:lineRule="auto"/>
      <w:rPr>
        <w:rFonts w:ascii="Direct Sans Semibold" w:eastAsia="Direct Sans Semibold" w:hAnsi="Direct Sans Semibold" w:cs="Direct Sans Semibold"/>
        <w:b/>
        <w:bCs/>
        <w:color w:val="004033"/>
        <w:sz w:val="48"/>
        <w:szCs w:val="48"/>
      </w:rPr>
    </w:pPr>
    <w:r>
      <w:rPr>
        <w:rFonts w:ascii="Direct Sans Semibold" w:eastAsia="Direct Sans Semibold" w:hAnsi="Direct Sans Semibold" w:cs="Direct Sans Semibold"/>
        <w:b/>
        <w:bCs/>
        <w:color w:val="004033"/>
        <w:sz w:val="48"/>
        <w:szCs w:val="48"/>
      </w:rPr>
      <w:tab/>
    </w:r>
    <w:r>
      <w:rPr>
        <w:rFonts w:ascii="Direct Sans Semibold" w:eastAsia="Direct Sans Semibold" w:hAnsi="Direct Sans Semibold" w:cs="Direct Sans Semibold"/>
        <w:b/>
        <w:bCs/>
        <w:color w:val="004033"/>
        <w:sz w:val="48"/>
        <w:szCs w:val="48"/>
      </w:rPr>
      <w:tab/>
      <w:t xml:space="preserve"> </w:t>
    </w:r>
    <w:r>
      <w:rPr>
        <w:rFonts w:ascii="Direct Sans" w:eastAsia="Direct Sans" w:hAnsi="Direct Sans" w:cs="Direct Sans"/>
        <w:i/>
        <w:iCs/>
        <w:color w:val="004033"/>
        <w:sz w:val="22"/>
        <w:szCs w:val="22"/>
      </w:rPr>
      <w:t>Tisková zpráva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174E36F3" wp14:editId="2E9EC532">
          <wp:simplePos x="0" y="0"/>
          <wp:positionH relativeFrom="column">
            <wp:posOffset>-264794</wp:posOffset>
          </wp:positionH>
          <wp:positionV relativeFrom="paragraph">
            <wp:posOffset>63052</wp:posOffset>
          </wp:positionV>
          <wp:extent cx="1274933" cy="66256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4933" cy="6625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F81B6E" w14:textId="77777777" w:rsidR="006A642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1BFFDC7E" wp14:editId="41BA92A2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05790" cy="379730"/>
              <wp:effectExtent l="0" t="0" r="0" b="0"/>
              <wp:wrapNone/>
              <wp:docPr id="2" name="Obdélník 2" descr="Interní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47868" y="3594898"/>
                        <a:ext cx="5962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B470E4" w14:textId="77777777" w:rsidR="006A6425" w:rsidRDefault="00000000">
                          <w:pPr>
                            <w:spacing w:after="0" w:line="277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Interní</w:t>
                          </w:r>
                        </w:p>
                      </w:txbxContent>
                    </wps:txbx>
                    <wps:bodyPr spcFirstLastPara="1" wrap="square" lIns="0" tIns="190500" rIns="2540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05790" cy="379730"/>
              <wp:effectExtent b="0" l="0" r="0" t="0"/>
              <wp:wrapNone/>
              <wp:docPr descr="Interní" id="2" name="image3.png"/>
              <a:graphic>
                <a:graphicData uri="http://schemas.openxmlformats.org/drawingml/2006/picture">
                  <pic:pic>
                    <pic:nvPicPr>
                      <pic:cNvPr descr="Interní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5790" cy="3797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425"/>
    <w:rsid w:val="00610128"/>
    <w:rsid w:val="00611269"/>
    <w:rsid w:val="006A6425"/>
    <w:rsid w:val="00ED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DEBF39"/>
  <w15:docId w15:val="{5AEAF4C0-EA8F-6A41-BBD6-48CACAC7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cs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/>
        <w:bCs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fondee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ondee.cz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ny2gkV3SVqxSggLk9mmBUKYH7w==">CgMxLjAaHwoBMBIaChgICVIUChJ0YWJsZS54NmY2M29tNjM1bDE4AHIhMXhDYVJlb3BYLWcyN1JxQ2J1b2NUanAtZFlDUzhxVDNF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 Maruniak</cp:lastModifiedBy>
  <cp:revision>2</cp:revision>
  <dcterms:created xsi:type="dcterms:W3CDTF">2026-09-15T08:35:00Z</dcterms:created>
  <dcterms:modified xsi:type="dcterms:W3CDTF">2026-09-15T08:35:00Z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7cbb9861,3589f1d5,773d80be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</vt:lpwstr>
  </property>
  <property fmtid="{D5CDD505-2E9C-101B-9397-08002B2CF9AE}" pid="5" name="MSIP_Label_2f90dfaf-3227-49c1-ac9e-e3a490b2dbb5_Enabled">
    <vt:lpwstr>true</vt:lpwstr>
  </property>
  <property fmtid="{D5CDD505-2E9C-101B-9397-08002B2CF9AE}" pid="6" name="MSIP_Label_2f90dfaf-3227-49c1-ac9e-e3a490b2dbb5_SetDate">
    <vt:lpwstr>2025-02-20T12:50:01Z</vt:lpwstr>
  </property>
  <property fmtid="{D5CDD505-2E9C-101B-9397-08002B2CF9AE}" pid="7" name="MSIP_Label_2f90dfaf-3227-49c1-ac9e-e3a490b2dbb5_Method">
    <vt:lpwstr>Standard</vt:lpwstr>
  </property>
  <property fmtid="{D5CDD505-2E9C-101B-9397-08002B2CF9AE}" pid="8" name="MSIP_Label_2f90dfaf-3227-49c1-ac9e-e3a490b2dbb5_Name">
    <vt:lpwstr>Interní</vt:lpwstr>
  </property>
  <property fmtid="{D5CDD505-2E9C-101B-9397-08002B2CF9AE}" pid="9" name="MSIP_Label_2f90dfaf-3227-49c1-ac9e-e3a490b2dbb5_SiteId">
    <vt:lpwstr>ebc0beb2-ea26-4367-a01b-0621b24bfc62</vt:lpwstr>
  </property>
  <property fmtid="{D5CDD505-2E9C-101B-9397-08002B2CF9AE}" pid="10" name="MSIP_Label_2f90dfaf-3227-49c1-ac9e-e3a490b2dbb5_ActionId">
    <vt:lpwstr>cd4b80fc-4317-4834-97af-074629d56d1b</vt:lpwstr>
  </property>
  <property fmtid="{D5CDD505-2E9C-101B-9397-08002B2CF9AE}" pid="11" name="MSIP_Label_2f90dfaf-3227-49c1-ac9e-e3a490b2dbb5_ContentBits">
    <vt:lpwstr>1</vt:lpwstr>
  </property>
  <property fmtid="{D5CDD505-2E9C-101B-9397-08002B2CF9AE}" pid="12" name="MSIP_Label_2f90dfaf-3227-49c1-ac9e-e3a490b2dbb5_Tag">
    <vt:lpwstr>50, 3, 0, 1</vt:lpwstr>
  </property>
  <property fmtid="{D5CDD505-2E9C-101B-9397-08002B2CF9AE}" pid="13" name="ContentTypeId">
    <vt:lpwstr>0x010100188F1F502F03A249B0C80D07F0340371</vt:lpwstr>
  </property>
</Properties>
</file>