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B7DB" w14:textId="77777777" w:rsidR="00C75D0B" w:rsidRDefault="00000000">
      <w:pPr>
        <w:spacing w:after="180"/>
        <w:jc w:val="both"/>
        <w:rPr>
          <w:rFonts w:ascii="Inter Light" w:eastAsia="Inter Light" w:hAnsi="Inter Light" w:cs="Inter Light"/>
          <w:sz w:val="40"/>
          <w:szCs w:val="40"/>
        </w:rPr>
      </w:pPr>
      <w:r>
        <w:rPr>
          <w:rFonts w:ascii="Inter Light" w:eastAsia="Inter Light" w:hAnsi="Inter Light" w:cs="Inter Light"/>
          <w:sz w:val="40"/>
          <w:szCs w:val="40"/>
        </w:rPr>
        <w:t>Využití umělé inteligence jako nová kategorie 24. Zlatého středníku</w:t>
      </w:r>
    </w:p>
    <w:p w14:paraId="081203A2" w14:textId="099E2407" w:rsidR="00C75D0B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19. ledna 2026 – Praha I </w:t>
      </w:r>
      <w:r>
        <w:rPr>
          <w:b/>
          <w:bCs/>
          <w:color w:val="000000"/>
        </w:rPr>
        <w:t>Asociace strategické komunikace a vztahů s veřejností (ASCOPA) spouští 24. ročník soutěže Zlatý středník, nejvýznamnější oborové platformy pro hodnocení komunikačních projektů a firemních médií v České republice a na Slovensku. Soutěž dlouhodobě reflektuje vývoj oboru public relations a oceňuje projekty, které reagují na proměňující se</w:t>
      </w:r>
      <w:r w:rsidR="00EB701E">
        <w:rPr>
          <w:b/>
          <w:bCs/>
          <w:color w:val="000000"/>
        </w:rPr>
        <w:t> </w:t>
      </w:r>
      <w:r>
        <w:rPr>
          <w:b/>
          <w:bCs/>
          <w:color w:val="000000"/>
        </w:rPr>
        <w:t>očekávání veřejnosti, médií i dalších stakeholderů. V letošním ročníku mohou přihlašovatelé soutěžit celkem ve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21 hlavních a </w:t>
      </w:r>
      <w:r>
        <w:rPr>
          <w:b/>
          <w:bCs/>
        </w:rPr>
        <w:t>9</w:t>
      </w:r>
      <w:r>
        <w:rPr>
          <w:b/>
          <w:bCs/>
          <w:color w:val="000000"/>
        </w:rPr>
        <w:t xml:space="preserve"> oborových kategoriích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přičemž</w:t>
      </w:r>
      <w:r>
        <w:rPr>
          <w:color w:val="000000"/>
        </w:rPr>
        <w:t> </w:t>
      </w:r>
      <w:r>
        <w:rPr>
          <w:b/>
          <w:bCs/>
          <w:color w:val="000000"/>
        </w:rPr>
        <w:t>Grand Prix zůstává i nadále nejvyšším oceněním soutěže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>Významnou novinkou letošního ročníku je</w:t>
      </w:r>
      <w:r>
        <w:rPr>
          <w:color w:val="000000"/>
        </w:rPr>
        <w:t> </w:t>
      </w:r>
      <w:r>
        <w:rPr>
          <w:b/>
          <w:bCs/>
          <w:color w:val="000000"/>
        </w:rPr>
        <w:t>nová hlavní kategorie Využití umělé inteligence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která reaguje na rostoucí roli AI nástrojů v plánování, realizaci</w:t>
      </w:r>
      <w:r w:rsidR="00EB701E">
        <w:rPr>
          <w:b/>
          <w:bCs/>
        </w:rPr>
        <w:t xml:space="preserve"> </w:t>
      </w:r>
      <w:r>
        <w:rPr>
          <w:b/>
          <w:bCs/>
          <w:color w:val="000000"/>
        </w:rPr>
        <w:t>i</w:t>
      </w:r>
      <w:r w:rsidR="00EB701E">
        <w:rPr>
          <w:b/>
          <w:bCs/>
          <w:color w:val="000000"/>
        </w:rPr>
        <w:t> </w:t>
      </w:r>
      <w:r>
        <w:rPr>
          <w:b/>
          <w:bCs/>
          <w:color w:val="000000"/>
        </w:rPr>
        <w:t xml:space="preserve">vyhodnocování komunikačních kampaní. </w:t>
      </w:r>
    </w:p>
    <w:p w14:paraId="362224BC" w14:textId="2EAEAED5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i/>
          <w:iCs/>
          <w:color w:val="000000"/>
        </w:rPr>
        <w:t>„Zlatý středník dlouhodobě sleduje, jak se mění role komunikace i samotná práce profesionálů v oboru. Umělá inteligence dnes zásadně ovlivňuje způsob, jak kampaně vznikají, jak se plánují i jak se</w:t>
      </w:r>
      <w:r w:rsidR="00EB701E">
        <w:rPr>
          <w:i/>
          <w:iCs/>
          <w:color w:val="000000"/>
        </w:rPr>
        <w:t> </w:t>
      </w:r>
      <w:r>
        <w:rPr>
          <w:i/>
          <w:iCs/>
          <w:color w:val="000000"/>
        </w:rPr>
        <w:t>vyhodnocují. Novou kategorií chceme dát prostor projektům, které s AI pracují smysluplně, odpovědně a</w:t>
      </w:r>
      <w:r w:rsidR="00EB701E">
        <w:rPr>
          <w:i/>
          <w:iCs/>
          <w:color w:val="000000"/>
        </w:rPr>
        <w:t> </w:t>
      </w:r>
      <w:r>
        <w:rPr>
          <w:i/>
          <w:iCs/>
          <w:color w:val="000000"/>
        </w:rPr>
        <w:t>s jasným přínosem pro komunikaci</w:t>
      </w:r>
      <w:r>
        <w:rPr>
          <w:color w:val="000000"/>
        </w:rPr>
        <w:t>,“ říká Petra Adámková, předsedkyně Výkonného výboru ASCOPA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Soutěž zároveň navazuje na loňské rozšíření o hlavní kategorii Regiony, zaměřenou na projekty s</w:t>
      </w:r>
      <w:r w:rsidR="00EB701E">
        <w:rPr>
          <w:color w:val="000000"/>
        </w:rPr>
        <w:t> </w:t>
      </w:r>
      <w:r>
        <w:rPr>
          <w:color w:val="000000"/>
        </w:rPr>
        <w:t>dopadem na místní a regionální komunity.</w:t>
      </w:r>
    </w:p>
    <w:p w14:paraId="56E813B1" w14:textId="77777777" w:rsidR="00C75D0B" w:rsidRDefault="00000000">
      <w:pPr>
        <w:spacing w:after="1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Odpovědnost, udržitelnost a ESG jako klíčový trend</w:t>
      </w:r>
    </w:p>
    <w:p w14:paraId="20484D83" w14:textId="0BDCAFB8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color w:val="000000"/>
        </w:rPr>
        <w:t>Zkušenosti z předchozích ročníků potvrzují, že mezi dlouhodobě nejvýraznější oblasti soutěže patří projekty zaměřené na společenskou odpovědnost, udržitelnost a ESG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Tyto projekty stále častěji pracují s dlouhodobými závazky organizací, transparentností a reálným dopadem strategické komunikace na</w:t>
      </w:r>
      <w:r w:rsidR="00EB701E">
        <w:rPr>
          <w:color w:val="000000"/>
        </w:rPr>
        <w:t> </w:t>
      </w:r>
      <w:r>
        <w:rPr>
          <w:color w:val="000000"/>
        </w:rPr>
        <w:t>společnost i jednotlivé skupiny stakeholderů.</w:t>
      </w:r>
    </w:p>
    <w:p w14:paraId="10D256C3" w14:textId="1F940050" w:rsidR="00C75D0B" w:rsidRDefault="00000000">
      <w:pPr>
        <w:spacing w:after="180" w:line="360" w:lineRule="auto"/>
        <w:jc w:val="both"/>
        <w:rPr>
          <w:b/>
          <w:bCs/>
          <w:color w:val="000000"/>
        </w:rPr>
      </w:pPr>
      <w:r>
        <w:rPr>
          <w:i/>
          <w:iCs/>
          <w:color w:val="000000"/>
        </w:rPr>
        <w:t xml:space="preserve">„Firmy si čím dál více uvědomují, že důvěru nelze budovat jednorázovou kampaní, ale pouze konzistentním přístupem k odpovědnosti a udržitelnosti. Projekty v oblasti ESG ukazují, jak komunikace dokáže propojit hodnoty organizací s očekáváním veřejnosti a dalších stakeholderů. Právě tato schopnost dávat smysl závazkům a přetavovat je do srozumitelné a věrohodné komunikace dnes patří </w:t>
      </w:r>
      <w:r>
        <w:rPr>
          <w:i/>
          <w:iCs/>
          <w:color w:val="000000"/>
        </w:rPr>
        <w:lastRenderedPageBreak/>
        <w:t>k</w:t>
      </w:r>
      <w:r w:rsidR="00EB701E">
        <w:rPr>
          <w:i/>
          <w:iCs/>
          <w:color w:val="000000"/>
        </w:rPr>
        <w:t> </w:t>
      </w:r>
      <w:r>
        <w:rPr>
          <w:i/>
          <w:iCs/>
          <w:color w:val="000000"/>
        </w:rPr>
        <w:t>nejdůležitějším trendům v oboru,</w:t>
      </w:r>
      <w:r>
        <w:rPr>
          <w:color w:val="000000"/>
        </w:rPr>
        <w:t>“ říká Jitka Němečková, členka Výkonného výboru ASCOPA a garantka soutěže Zlatý středník</w:t>
      </w:r>
      <w:r>
        <w:rPr>
          <w:b/>
          <w:bCs/>
          <w:color w:val="000000"/>
        </w:rPr>
        <w:t>.</w:t>
      </w:r>
    </w:p>
    <w:p w14:paraId="705724D8" w14:textId="77777777" w:rsidR="00C75D0B" w:rsidRDefault="00000000">
      <w:pPr>
        <w:spacing w:after="1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Moderní přístup k cílům a měření kampaní</w:t>
      </w:r>
    </w:p>
    <w:p w14:paraId="5A2D608A" w14:textId="2F13A454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color w:val="000000"/>
        </w:rPr>
        <w:t>Novinky čekají přihlašovatele také přímo v samotné přihlášce. Upravená je část věnovaná splnění cílů a</w:t>
      </w:r>
      <w:r w:rsidR="00EB701E">
        <w:rPr>
          <w:color w:val="000000"/>
        </w:rPr>
        <w:t> </w:t>
      </w:r>
      <w:r>
        <w:rPr>
          <w:color w:val="000000"/>
        </w:rPr>
        <w:t>měření efektivity kampaní, kde budou mít účastníci možnost ukázat práci s moderními metrikami, daty a pokročilými analytickými přístupy. Soutěž tak reaguje na posun oboru směrem k sofistikovanějšímu a</w:t>
      </w:r>
      <w:r w:rsidR="00EB701E">
        <w:rPr>
          <w:color w:val="000000"/>
        </w:rPr>
        <w:t> </w:t>
      </w:r>
      <w:r>
        <w:rPr>
          <w:color w:val="000000"/>
        </w:rPr>
        <w:t>komplexněj</w:t>
      </w:r>
      <w:r>
        <w:t xml:space="preserve">šímu </w:t>
      </w:r>
      <w:r>
        <w:rPr>
          <w:color w:val="000000"/>
        </w:rPr>
        <w:t>vyhodnocování dopadu komunikace napříč kanály a cílovými skupinami.</w:t>
      </w:r>
    </w:p>
    <w:p w14:paraId="19DD6188" w14:textId="0AE0B6CF" w:rsidR="00C75D0B" w:rsidRDefault="00000000">
      <w:pPr>
        <w:spacing w:after="180" w:line="360" w:lineRule="auto"/>
        <w:jc w:val="both"/>
        <w:rPr>
          <w:b/>
          <w:bCs/>
          <w:color w:val="000000"/>
        </w:rPr>
      </w:pPr>
      <w:r>
        <w:rPr>
          <w:i/>
          <w:iCs/>
          <w:color w:val="000000"/>
        </w:rPr>
        <w:t xml:space="preserve">„Chceme </w:t>
      </w:r>
      <w:r>
        <w:rPr>
          <w:i/>
          <w:iCs/>
        </w:rPr>
        <w:t xml:space="preserve">dát </w:t>
      </w:r>
      <w:r>
        <w:rPr>
          <w:i/>
          <w:iCs/>
          <w:color w:val="000000"/>
        </w:rPr>
        <w:t>přihlašovatelům větší prostor a návod, jak ukázat skutečný přínos jejich práce. Nejde jen o</w:t>
      </w:r>
      <w:r w:rsidR="00EB701E">
        <w:rPr>
          <w:i/>
          <w:iCs/>
          <w:color w:val="000000"/>
        </w:rPr>
        <w:t> </w:t>
      </w:r>
      <w:r>
        <w:rPr>
          <w:i/>
          <w:iCs/>
          <w:color w:val="000000"/>
        </w:rPr>
        <w:t>mediální zásah, ale o schopnost pracovat s daty, kontextem a prokazatelným naplněním cílů. I proto jsme přihlášku upravili tak, aby lépe odpovídala současné praxi v oboru</w:t>
      </w:r>
      <w:r>
        <w:rPr>
          <w:color w:val="000000"/>
        </w:rPr>
        <w:t>,“ doplňuje Lucie Dosedělová, výkonná ředitelka ASCOPA</w:t>
      </w:r>
      <w:r>
        <w:rPr>
          <w:b/>
          <w:bCs/>
          <w:color w:val="000000"/>
        </w:rPr>
        <w:t>.</w:t>
      </w:r>
    </w:p>
    <w:p w14:paraId="5CF35840" w14:textId="77777777" w:rsidR="00C75D0B" w:rsidRDefault="00000000">
      <w:pPr>
        <w:spacing w:after="1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Odborné hodnocení a zpětná vazba</w:t>
      </w:r>
    </w:p>
    <w:p w14:paraId="7E8D71C7" w14:textId="77777777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color w:val="000000"/>
        </w:rPr>
        <w:t>Do hodnocení projektů se tradičně zapojí více než stovka odborníků z oblasti PR, marketingu, médií, digitální komunikace i datové analytiky. Zlatý středník dlouhodobě klade důraz nejen na samotné ocenění, ale také na detailní písemnou zpětnou vazbu, kterou získávají všichni přihlašovatelé.</w:t>
      </w:r>
    </w:p>
    <w:p w14:paraId="1352DA07" w14:textId="77777777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i/>
          <w:iCs/>
          <w:color w:val="000000"/>
        </w:rPr>
        <w:t>„Zlatý středník není jen soutěží, ale také platformou pro sdílení know-how a posouvání celého oboru napříč v</w:t>
      </w:r>
      <w:r>
        <w:rPr>
          <w:i/>
          <w:iCs/>
        </w:rPr>
        <w:t>šemi oblastmi komunikace</w:t>
      </w:r>
      <w:r>
        <w:rPr>
          <w:i/>
          <w:iCs/>
          <w:color w:val="000000"/>
        </w:rPr>
        <w:t>. Zpětná vazba porotců pomáhá týmům lépe pochopit silné stránky jejich projektů i oblasti, kde je prostor pro další rozvoj,“</w:t>
      </w:r>
      <w:r>
        <w:rPr>
          <w:color w:val="000000"/>
        </w:rPr>
        <w:t xml:space="preserve"> uzavírá Petra Adámková.</w:t>
      </w:r>
    </w:p>
    <w:p w14:paraId="6C83063F" w14:textId="34252580" w:rsidR="00C75D0B" w:rsidRDefault="00000000">
      <w:pPr>
        <w:spacing w:after="180" w:line="360" w:lineRule="auto"/>
        <w:jc w:val="both"/>
        <w:rPr>
          <w:color w:val="000000"/>
        </w:rPr>
      </w:pPr>
      <w:r>
        <w:rPr>
          <w:color w:val="000000"/>
        </w:rPr>
        <w:t>Přihlášky do 24. ročníku soutěže Zlatý středník mohou podávat firmy, agentury, neziskové organizace i</w:t>
      </w:r>
      <w:r w:rsidR="00EB701E">
        <w:rPr>
          <w:color w:val="000000"/>
        </w:rPr>
        <w:t> </w:t>
      </w:r>
      <w:r>
        <w:rPr>
          <w:color w:val="000000"/>
        </w:rPr>
        <w:t>veřejné instituce prostřednictvím webu www.zlatystrednik.cz, a to do 31. března 2026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Zvýhodněné early </w:t>
      </w:r>
      <w:proofErr w:type="spellStart"/>
      <w:r>
        <w:rPr>
          <w:color w:val="000000"/>
        </w:rPr>
        <w:t>birds</w:t>
      </w:r>
      <w:proofErr w:type="spellEnd"/>
      <w:r>
        <w:rPr>
          <w:color w:val="000000"/>
        </w:rPr>
        <w:t xml:space="preserve"> přihlášky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jsou k dispozici do konce ledna. Slavnostní vyhlášení vítězů se uskuteční na podzim 2026 v Praze, přesný termín a místo konání budou oznámeny v průběhu jara.</w:t>
      </w:r>
    </w:p>
    <w:p w14:paraId="79939891" w14:textId="77777777" w:rsidR="00C75D0B" w:rsidRDefault="00000000">
      <w:pPr>
        <w:spacing w:after="18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 ASCOPA</w:t>
      </w:r>
    </w:p>
    <w:p w14:paraId="2E50F248" w14:textId="77777777" w:rsidR="00C75D0B" w:rsidRDefault="00000000">
      <w:pPr>
        <w:spacing w:after="180" w:line="240" w:lineRule="auto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Asociace strategické komunikace a vztahů s veřejností (</w:t>
      </w:r>
      <w:hyperlink r:id="rId7">
        <w:r>
          <w:rPr>
            <w:sz w:val="16"/>
            <w:szCs w:val="16"/>
            <w:u w:val="single"/>
          </w:rPr>
          <w:t>ASCOPA</w:t>
        </w:r>
      </w:hyperlink>
      <w:r>
        <w:rPr>
          <w:sz w:val="16"/>
          <w:szCs w:val="16"/>
        </w:rPr>
        <w:t xml:space="preserve">)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</w:t>
      </w:r>
      <w:proofErr w:type="spellStart"/>
      <w:r>
        <w:rPr>
          <w:sz w:val="16"/>
          <w:szCs w:val="16"/>
        </w:rPr>
        <w:t>Global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Alliance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for</w:t>
      </w:r>
      <w:proofErr w:type="spellEnd"/>
      <w:r>
        <w:rPr>
          <w:sz w:val="16"/>
          <w:szCs w:val="16"/>
        </w:rPr>
        <w:t xml:space="preserve"> Public Relations and </w:t>
      </w:r>
      <w:proofErr w:type="spellStart"/>
      <w:r>
        <w:rPr>
          <w:sz w:val="16"/>
          <w:szCs w:val="16"/>
        </w:rPr>
        <w:t>Communication</w:t>
      </w:r>
      <w:proofErr w:type="spellEnd"/>
      <w:r>
        <w:rPr>
          <w:sz w:val="16"/>
          <w:szCs w:val="16"/>
        </w:rPr>
        <w:t xml:space="preserve"> Management. Pořádá největší komunikační soutěž v České republice a na Slovensku Zlatý středník a profesní ocenění Mluvčí roku. Sledovat aktivity asociace můžete na sítích </w:t>
      </w:r>
      <w:hyperlink r:id="rId8">
        <w:r>
          <w:rPr>
            <w:sz w:val="16"/>
            <w:szCs w:val="16"/>
            <w:u w:val="single"/>
          </w:rPr>
          <w:t>LinkedIn</w:t>
        </w:r>
      </w:hyperlink>
      <w:r>
        <w:rPr>
          <w:sz w:val="16"/>
          <w:szCs w:val="16"/>
        </w:rPr>
        <w:t xml:space="preserve"> a </w:t>
      </w:r>
      <w:hyperlink r:id="rId9">
        <w:r>
          <w:rPr>
            <w:sz w:val="16"/>
            <w:szCs w:val="16"/>
            <w:u w:val="single"/>
          </w:rPr>
          <w:t>Facebook</w:t>
        </w:r>
      </w:hyperlink>
      <w:r>
        <w:rPr>
          <w:sz w:val="16"/>
          <w:szCs w:val="16"/>
        </w:rPr>
        <w:t xml:space="preserve"> a webové stránce </w:t>
      </w:r>
      <w:hyperlink r:id="rId10">
        <w:r>
          <w:rPr>
            <w:color w:val="1155CC"/>
            <w:sz w:val="16"/>
            <w:szCs w:val="16"/>
            <w:u w:val="single"/>
          </w:rPr>
          <w:t>www.ascopa.cz</w:t>
        </w:r>
      </w:hyperlink>
      <w:r>
        <w:rPr>
          <w:sz w:val="16"/>
          <w:szCs w:val="16"/>
        </w:rPr>
        <w:t xml:space="preserve"> </w:t>
      </w:r>
    </w:p>
    <w:p w14:paraId="726B7484" w14:textId="77777777" w:rsidR="00C75D0B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lastRenderedPageBreak/>
        <w:t>Kontakt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color w:val="000000"/>
          <w:sz w:val="18"/>
          <w:szCs w:val="18"/>
        </w:rPr>
        <w:t xml:space="preserve">Lucie Dosedělová, výkonná ředitelka ASCOPA,  </w:t>
      </w:r>
      <w:hyperlink r:id="rId11">
        <w:r>
          <w:rPr>
            <w:color w:val="0000FF"/>
            <w:sz w:val="18"/>
            <w:szCs w:val="18"/>
            <w:u w:val="single"/>
          </w:rPr>
          <w:t>reditelka@ascopa.cz</w:t>
        </w:r>
      </w:hyperlink>
      <w:r>
        <w:rPr>
          <w:color w:val="000000"/>
          <w:sz w:val="18"/>
          <w:szCs w:val="18"/>
        </w:rPr>
        <w:t>, +420 723 520 855</w:t>
      </w:r>
    </w:p>
    <w:sectPr w:rsidR="00C75D0B">
      <w:headerReference w:type="default" r:id="rId12"/>
      <w:footerReference w:type="default" r:id="rId13"/>
      <w:pgSz w:w="11906" w:h="16838"/>
      <w:pgMar w:top="2509" w:right="850" w:bottom="2834" w:left="850" w:header="794" w:footer="2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DA31" w14:textId="77777777" w:rsidR="00DE2D35" w:rsidRDefault="00DE2D35">
      <w:pPr>
        <w:spacing w:line="240" w:lineRule="auto"/>
      </w:pPr>
      <w:r>
        <w:separator/>
      </w:r>
    </w:p>
  </w:endnote>
  <w:endnote w:type="continuationSeparator" w:id="0">
    <w:p w14:paraId="494E839F" w14:textId="77777777" w:rsidR="00DE2D35" w:rsidRDefault="00DE2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1C477BA-F5C3-294A-A94F-E7E2CF4740D4}"/>
    <w:embedBold r:id="rId2" w:fontKey="{DED11144-CD2A-B941-B45B-5918D87B4163}"/>
    <w:embedItalic r:id="rId3" w:fontKey="{4DF5F1D4-26F9-8049-917C-FD25EC86D53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15E250A9-A9B2-3F4B-AEAE-0587E7A2F7AE}"/>
    <w:embedBold r:id="rId5" w:fontKey="{140269CF-39E3-4544-B2BD-6ED3FB3EFC8F}"/>
    <w:embedItalic r:id="rId6" w:fontKey="{435D517D-73E0-FC42-ABBA-2318CA1A5CB3}"/>
  </w:font>
  <w:font w:name="Inter Light">
    <w:altName w:val="Calibri"/>
    <w:panose1 w:val="020B0604020202020204"/>
    <w:charset w:val="00"/>
    <w:family w:val="auto"/>
    <w:pitch w:val="default"/>
  </w:font>
  <w:font w:name="Inter">
    <w:altName w:val="Calibri"/>
    <w:panose1 w:val="020B0604020202020204"/>
    <w:charset w:val="00"/>
    <w:family w:val="auto"/>
    <w:pitch w:val="default"/>
    <w:embedRegular r:id="rId8" w:fontKey="{BDFB7BB9-00A1-394D-B0FB-3BA4E6F04D44}"/>
    <w:embedBold r:id="rId9" w:fontKey="{87005FDB-CA8A-CD4F-A3D3-CDE6B86862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8D01375-8E76-9148-AB92-5FC8A7DFF48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4E5C5ACA-37AA-344C-AFD9-CBEB283000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F0E4" w14:textId="77777777" w:rsidR="00C75D0B" w:rsidRDefault="00000000">
    <w:pPr>
      <w:rPr>
        <w:rFonts w:ascii="Inter" w:eastAsia="Inter" w:hAnsi="Inter" w:cs="Inter"/>
        <w:b/>
        <w:bCs/>
        <w:sz w:val="16"/>
        <w:szCs w:val="16"/>
      </w:rPr>
    </w:pPr>
    <w:r>
      <w:rPr>
        <w:rFonts w:ascii="Inter" w:eastAsia="Inter" w:hAnsi="Inter" w:cs="Inter"/>
        <w:b/>
        <w:bCs/>
        <w:sz w:val="16"/>
        <w:szCs w:val="16"/>
      </w:rPr>
      <w:t>Asociace strategické</w:t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6DF337E3" w14:textId="77777777" w:rsidR="00C75D0B" w:rsidRDefault="00000000">
    <w:pPr>
      <w:rPr>
        <w:rFonts w:ascii="Inter" w:eastAsia="Inter" w:hAnsi="Inter" w:cs="Inter"/>
        <w:b/>
        <w:bCs/>
        <w:sz w:val="16"/>
        <w:szCs w:val="16"/>
      </w:rPr>
    </w:pPr>
    <w:r>
      <w:rPr>
        <w:rFonts w:ascii="Inter" w:eastAsia="Inter" w:hAnsi="Inter" w:cs="Inter"/>
        <w:b/>
        <w:bCs/>
        <w:sz w:val="16"/>
        <w:szCs w:val="16"/>
      </w:rPr>
      <w:t>komunikace a vztahů</w:t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26B3F03C" w14:textId="77777777" w:rsidR="00C75D0B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bCs/>
        <w:sz w:val="16"/>
        <w:szCs w:val="16"/>
      </w:rPr>
      <w:t>s veřejností, z. s.</w:t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b/>
        <w:bCs/>
        <w:sz w:val="16"/>
        <w:szCs w:val="16"/>
      </w:rPr>
      <w:tab/>
    </w:r>
    <w:r>
      <w:rPr>
        <w:rFonts w:ascii="Inter" w:eastAsia="Inter" w:hAnsi="Inter" w:cs="Inter"/>
        <w:color w:val="3D85C6"/>
        <w:sz w:val="16"/>
        <w:szCs w:val="16"/>
        <w:u w:val="single"/>
      </w:rPr>
      <w:t>www.ascopa.cz</w:t>
    </w:r>
  </w:p>
  <w:p w14:paraId="6013EF82" w14:textId="77777777" w:rsidR="00C75D0B" w:rsidRDefault="00000000">
    <w:pPr>
      <w:jc w:val="right"/>
      <w:rPr>
        <w:rFonts w:ascii="Inter" w:eastAsia="Inter" w:hAnsi="Inter" w:cs="Inter"/>
        <w:b/>
        <w:bCs/>
        <w:sz w:val="16"/>
        <w:szCs w:val="16"/>
      </w:rPr>
    </w:pPr>
    <w:r>
      <w:rPr>
        <w:rFonts w:ascii="Inter" w:eastAsia="Inter" w:hAnsi="Inter" w:cs="Inter"/>
        <w:b/>
        <w:bCs/>
        <w:sz w:val="16"/>
        <w:szCs w:val="16"/>
      </w:rPr>
      <w:fldChar w:fldCharType="begin"/>
    </w:r>
    <w:r>
      <w:rPr>
        <w:rFonts w:ascii="Inter" w:eastAsia="Inter" w:hAnsi="Inter" w:cs="Inter"/>
        <w:b/>
        <w:bCs/>
        <w:sz w:val="16"/>
        <w:szCs w:val="16"/>
      </w:rPr>
      <w:instrText>NUMPAGES</w:instrText>
    </w:r>
    <w:r>
      <w:rPr>
        <w:rFonts w:ascii="Inter" w:eastAsia="Inter" w:hAnsi="Inter" w:cs="Inter"/>
        <w:b/>
        <w:bCs/>
        <w:sz w:val="16"/>
        <w:szCs w:val="16"/>
      </w:rPr>
      <w:fldChar w:fldCharType="separate"/>
    </w:r>
    <w:r w:rsidR="00EB701E">
      <w:rPr>
        <w:rFonts w:ascii="Inter" w:eastAsia="Inter" w:hAnsi="Inter" w:cs="Inter"/>
        <w:b/>
        <w:bCs/>
        <w:noProof/>
        <w:sz w:val="16"/>
        <w:szCs w:val="16"/>
      </w:rPr>
      <w:t>2</w:t>
    </w:r>
    <w:r>
      <w:rPr>
        <w:rFonts w:ascii="Inter" w:eastAsia="Inter" w:hAnsi="Inter" w:cs="Inter"/>
        <w:b/>
        <w:bCs/>
        <w:sz w:val="16"/>
        <w:szCs w:val="16"/>
      </w:rPr>
      <w:fldChar w:fldCharType="end"/>
    </w:r>
  </w:p>
  <w:p w14:paraId="77D83387" w14:textId="77777777" w:rsidR="00C75D0B" w:rsidRDefault="00C75D0B">
    <w:pPr>
      <w:rPr>
        <w:rFonts w:ascii="Inter" w:eastAsia="Inter" w:hAnsi="Inter" w:cs="Int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656B" w14:textId="77777777" w:rsidR="00DE2D35" w:rsidRDefault="00DE2D35">
      <w:pPr>
        <w:spacing w:line="240" w:lineRule="auto"/>
      </w:pPr>
      <w:r>
        <w:separator/>
      </w:r>
    </w:p>
  </w:footnote>
  <w:footnote w:type="continuationSeparator" w:id="0">
    <w:p w14:paraId="1EE15E8D" w14:textId="77777777" w:rsidR="00DE2D35" w:rsidRDefault="00DE2D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5F56" w14:textId="77777777" w:rsidR="00C75D0B" w:rsidRDefault="00000000">
    <w:r>
      <w:rPr>
        <w:noProof/>
      </w:rPr>
      <w:drawing>
        <wp:inline distT="114300" distB="114300" distL="114300" distR="114300" wp14:anchorId="57551AD3" wp14:editId="76F2FCEC">
          <wp:extent cx="1124007" cy="74173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0B"/>
    <w:rsid w:val="0014575B"/>
    <w:rsid w:val="00C75D0B"/>
    <w:rsid w:val="00CD6197"/>
    <w:rsid w:val="00DE2D35"/>
    <w:rsid w:val="00E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970E7"/>
  <w15:docId w15:val="{B1DA1C95-B3FB-1E41-8524-2E987A7D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81E8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1E8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B596B"/>
    <w:pPr>
      <w:spacing w:line="240" w:lineRule="auto"/>
    </w:pPr>
  </w:style>
  <w:style w:type="paragraph" w:styleId="Normlnweb">
    <w:name w:val="Normal (Web)"/>
    <w:uiPriority w:val="99"/>
    <w:semiHidden/>
    <w:unhideWhenUsed/>
    <w:rsid w:val="00DC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DC556D"/>
    <w:rPr>
      <w:i/>
      <w:iCs/>
    </w:rPr>
  </w:style>
  <w:style w:type="character" w:customStyle="1" w:styleId="apple-converted-space">
    <w:name w:val="apple-converted-space"/>
    <w:basedOn w:val="Standardnpsmoodstavce"/>
    <w:rsid w:val="00DC556D"/>
  </w:style>
  <w:style w:type="character" w:styleId="Siln">
    <w:name w:val="Strong"/>
    <w:basedOn w:val="Standardnpsmoodstavce"/>
    <w:uiPriority w:val="22"/>
    <w:qFormat/>
    <w:rsid w:val="00DC556D"/>
    <w:rPr>
      <w:b/>
      <w:bCs/>
    </w:rPr>
  </w:style>
  <w:style w:type="paragraph" w:styleId="Zhlav">
    <w:name w:val="header"/>
    <w:link w:val="ZhlavChar"/>
    <w:uiPriority w:val="99"/>
    <w:unhideWhenUsed/>
    <w:rsid w:val="00DC556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56D"/>
  </w:style>
  <w:style w:type="paragraph" w:styleId="Zpat">
    <w:name w:val="footer"/>
    <w:link w:val="ZpatChar"/>
    <w:uiPriority w:val="99"/>
    <w:unhideWhenUsed/>
    <w:rsid w:val="00DC55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56D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ascopac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rklub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editelka@ascopa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scop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SCOPACZ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S8JkQC83DqEiJi1deXG6N3Y29A==">CgMxLjA4AGooChRzdWdnZXN0LnJtcng3OWNsMXcxehIQUGV0cmEgQWTDoW1rb3bDoWooChRzdWdnZXN0Lmx2cG1waG1xYzRmYhIQUGV0cmEgQWTDoW1rb3bDoWooChRzdWdnZXN0Lmx1N29nZGFsMTN5chIQUGV0cmEgQWTDoW1rb3bDoWooChRzdWdnZXN0LmhyYTVpbHBkZ3FwdhIQUGV0cmEgQWTDoW1rb3bDoWooChRzdWdnZXN0LmhweW01dGNmcWo3dhIQUGV0cmEgQWTDoW1rb3bDoWooChRzdWdnZXN0Lnh2aWI5NjkyNDFvMRIQUGV0cmEgQWTDoW1rb3bDoWooChRzdWdnZXN0LmUzNHZuZTFlMG4ydBIQUGV0cmEgQWTDoW1rb3bDoWooChRzdWdnZXN0LmdocTJ3MnNiOWxrMBIQUGV0cmEgQWTDoW1rb3bDoWonChNzdWdnZXN0LjZxNW9oNXowNjE1EhBQZXRyYSBBZMOhbWtvdsOhciExUUtTR1c4Q1ZDVFF0TEg3WXlPRU9EbEpsVWNGU0FRd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4454</Characters>
  <Application>Microsoft Office Word</Application>
  <DocSecurity>0</DocSecurity>
  <Lines>61</Lines>
  <Paragraphs>19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Lucie Dosedělová</cp:lastModifiedBy>
  <cp:revision>2</cp:revision>
  <dcterms:created xsi:type="dcterms:W3CDTF">2026-01-19T07:17:00Z</dcterms:created>
  <dcterms:modified xsi:type="dcterms:W3CDTF">2026-01-19T07:17:00Z</dcterms:modified>
</cp:coreProperties>
</file>