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2CBB" w14:textId="6489B668" w:rsidR="00E42652" w:rsidRDefault="00E42652" w:rsidP="00E42652">
      <w:pPr>
        <w:spacing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Warszawa, 10 marca 2026 r.</w:t>
      </w:r>
    </w:p>
    <w:p w14:paraId="2B74DFF8" w14:textId="77777777" w:rsidR="00E42652" w:rsidRPr="004C2671" w:rsidRDefault="00E42652" w:rsidP="00E42652">
      <w:pPr>
        <w:spacing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Informacja prasowa</w:t>
      </w:r>
    </w:p>
    <w:p w14:paraId="3DC1055C" w14:textId="77777777" w:rsidR="00E42652" w:rsidRDefault="00E42652" w:rsidP="00E42652">
      <w:pPr>
        <w:spacing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30F77337" w14:textId="77777777" w:rsidR="00E42652" w:rsidRPr="00A87856" w:rsidRDefault="00E42652" w:rsidP="00E42652">
      <w:pPr>
        <w:spacing w:line="276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A87856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Ranking cen ładowania</w:t>
      </w:r>
    </w:p>
    <w:p w14:paraId="200BC1D3" w14:textId="77777777" w:rsidR="00E42652" w:rsidRPr="00A87856" w:rsidRDefault="00E42652" w:rsidP="00E42652">
      <w:pPr>
        <w:spacing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</w:pPr>
      <w:r w:rsidRPr="00A87856"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  <w:t xml:space="preserve">Nowe cenniki operatorów ładowania. </w:t>
      </w:r>
      <w:proofErr w:type="spellStart"/>
      <w:r w:rsidRPr="00A87856"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  <w:t>Polenergia</w:t>
      </w:r>
      <w:proofErr w:type="spellEnd"/>
      <w:r w:rsidRPr="00A87856"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  <w:t xml:space="preserve"> i Budimex aktualizują ceny, Tesla rozbudowuje sieć</w:t>
      </w:r>
    </w:p>
    <w:p w14:paraId="7E178202" w14:textId="77777777" w:rsid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66E37611" w14:textId="77777777" w:rsidR="00E42652" w:rsidRPr="00A87856" w:rsidRDefault="00E42652" w:rsidP="00E42652">
      <w:p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O</w:t>
      </w:r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peratorzy ponownie zaczynają zmieniać cenniki na swoich stacjach ładowania. Marzec przynosi aktualizacje cenników m.in.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</w:t>
      </w:r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proofErr w:type="spellStart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Polenergia</w:t>
      </w:r>
      <w:proofErr w:type="spellEnd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proofErr w:type="spellStart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eMobility</w:t>
      </w:r>
      <w:proofErr w:type="spellEnd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i Budimex </w:t>
      </w:r>
      <w:proofErr w:type="spellStart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Mobility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 Z kolei</w:t>
      </w:r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Tesla kontynuuje ekspansję sieci </w:t>
      </w:r>
      <w:proofErr w:type="spellStart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Superchargerów</w:t>
      </w:r>
      <w:proofErr w:type="spellEnd"/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w Polsce.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To jednak nie koniec zmian dotyczących infrastruktury ładowania w Polsce. </w:t>
      </w:r>
    </w:p>
    <w:p w14:paraId="3F35673B" w14:textId="77777777" w:rsidR="00E42652" w:rsidRPr="004C2671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EC62257" w14:textId="77777777" w:rsidR="00E42652" w:rsidRPr="00A87856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Kolejny miesiąc to kolejne zmiany w cennikach operatorów stacji ładowania. Analiza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przeprowadzana co miesiąc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przez EV Klub Polska i elektromobilni.pl pokazuje, że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wśród cenników operatorów ładowania nie ma stagnacji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. Część firm decyduje się na podwyżki, argumentując je rosnącymi kosztami inwestycji i energii, podczas gdy inni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utrzymują lub obniżają stawki ładowania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. W efekcie różnice w cenach pomiędzy poszczególnymi sieciami utrzymują się na wysokim poziomie, co bezpośrednio przekłada się na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znaczące zróżnicowanie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koszt</w:t>
      </w:r>
      <w:r>
        <w:rPr>
          <w:rFonts w:ascii="Calibri" w:eastAsia="Times New Roman" w:hAnsi="Calibri" w:cs="Calibri"/>
          <w:sz w:val="22"/>
          <w:szCs w:val="22"/>
          <w:lang w:eastAsia="pl-PL"/>
        </w:rPr>
        <w:t>ów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codziennego użytkowania samochodów elektrycznych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i wymusza na użytkownikach analizy opcji ładowania publicznego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122050A1" w14:textId="77777777" w:rsid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7CC1EF0D" w14:textId="77777777" w:rsidR="00E42652" w:rsidRPr="00A87856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Wśród operatorów, którzy w minionym miesiącu wprowadzili korekty kosztów ładowania jest m.in. </w:t>
      </w:r>
      <w:proofErr w:type="spellStart"/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Polenergia</w:t>
      </w:r>
      <w:proofErr w:type="spellEnd"/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proofErr w:type="spellStart"/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eMobility</w:t>
      </w:r>
      <w:proofErr w:type="spellEnd"/>
      <w:r>
        <w:rPr>
          <w:rFonts w:ascii="Calibri" w:eastAsia="Times New Roman" w:hAnsi="Calibri" w:cs="Calibri"/>
          <w:sz w:val="22"/>
          <w:szCs w:val="22"/>
          <w:lang w:eastAsia="pl-PL"/>
        </w:rPr>
        <w:t>.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mi</w:t>
      </w:r>
      <w:r>
        <w:rPr>
          <w:rFonts w:ascii="Calibri" w:eastAsia="Times New Roman" w:hAnsi="Calibri" w:cs="Calibri"/>
          <w:sz w:val="22"/>
          <w:szCs w:val="22"/>
          <w:lang w:eastAsia="pl-PL"/>
        </w:rPr>
        <w:t>ana dotyczy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stacj</w:t>
      </w:r>
      <w:r>
        <w:rPr>
          <w:rFonts w:ascii="Calibri" w:eastAsia="Times New Roman" w:hAnsi="Calibri" w:cs="Calibri"/>
          <w:sz w:val="22"/>
          <w:szCs w:val="22"/>
          <w:lang w:eastAsia="pl-PL"/>
        </w:rPr>
        <w:t>i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AC, DC i HPC. Od teraz za najwolniejsze ładowanie (AC) użytkownicy EV zapłacą 1,92 zł/kWh (+8%), za szybkie ładowanie DC 2,62 zł/kWh (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+6% –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przed zmianą 2,48 zł/kWh), a wzdłuż Autostrady A2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– 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2,82 zł/kWh (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+5% –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wcześniej 2,68 zł/kWh).</w:t>
      </w:r>
    </w:p>
    <w:p w14:paraId="36FCB943" w14:textId="77777777" w:rsid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185C1CA1" w14:textId="77777777" w:rsid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Nowy cennik obowiązuje również w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Budimex </w:t>
      </w:r>
      <w:proofErr w:type="spellStart"/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Mobility</w:t>
      </w:r>
      <w:proofErr w:type="spellEnd"/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.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Od teraz na stacjach AC za wolne ładowanie u tego operatora zapłacimy 1,96 zł/kWh (poprzednio ceny różniły się w zależności od lokalizacji i wynosiły od 1,91 do 2,5 zł/kWh). Z kolei w kwestii szybkiego ładowania DC, Budimex wprowadził również nowy, bardziej przejrzysty cennik w zależności od mocy stacji ładowania.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Od teraz n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a stacjach o mocy do 60 kW kierowcy zapłacą 2,35 zł/kWh, na ładowarkach do 150 kW stawka wynosi 2,45 zł/kWh (wcześniej na stacjach do 150 kW cennik również posiadał widełki w zależności od lokalizacji i wynosił 1,99-2,58 zł/kWh). Z kolei na najmocniejszych stacjach (powyżej 150 kW) obecn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y koszt kilowatogodziny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to 2,66 zł.</w:t>
      </w:r>
    </w:p>
    <w:p w14:paraId="20C30570" w14:textId="77777777" w:rsidR="00E42652" w:rsidRPr="00A87856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4B44EF5" w14:textId="77777777" w:rsidR="00E42652" w:rsidRPr="00871ABA" w:rsidRDefault="00E42652" w:rsidP="00E42652">
      <w:pPr>
        <w:spacing w:line="276" w:lineRule="auto"/>
        <w:jc w:val="both"/>
        <w:rPr>
          <w:rFonts w:ascii="Calibri" w:eastAsia="Times New Roman" w:hAnsi="Calibri" w:cs="Calibri"/>
          <w:i/>
          <w:iCs/>
          <w:sz w:val="22"/>
          <w:szCs w:val="22"/>
          <w:lang w:eastAsia="pl-PL"/>
        </w:rPr>
      </w:pP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„Na polskim rynku infrastruktury ładowania samochodów elektrycznych działa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ją setki 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operatorów z różnorodnymi modelami biznesowymi, co powoduje 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znaczne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różnice w stawkach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ładowania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. Cenniki zależą od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wielu czynników, w tym m.in.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mocy stacji, 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lokalizacji, 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posiadanych 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abonamentów 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czy nawet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pory dnia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kiedy ładujemy samochód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. Aby uniknąć 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przepłacania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, warto śledzić ranking cen ładowania, który pokazuje aktualne promocje i zmiany stawek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u największych operatorów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. Rynek jest dynamiczny – praktycznie co miesiąc któryś operator modyfikuje ceny, a marzec 2026 to kolejny przykład</w:t>
      </w: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zmian cenników dwóch dużych graczy</w:t>
      </w:r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: Budimex </w:t>
      </w:r>
      <w:proofErr w:type="spellStart"/>
      <w:r w:rsidRPr="00871ABA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Mobility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wprowadził bardziej przejrzysty cennik,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Polenergia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lastRenderedPageBreak/>
        <w:t>eMobility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podnosi stawki za ładowania, a Tesla i inni operatorzy kontynuują ekspansję </w:t>
      </w:r>
      <w:proofErr w:type="spellStart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hubów</w:t>
      </w:r>
      <w:proofErr w:type="spellEnd"/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ładowania dużych mocy</w:t>
      </w:r>
      <w:r w:rsidRPr="00785681">
        <w:rPr>
          <w:rFonts w:ascii="Calibri" w:eastAsia="Times New Roman" w:hAnsi="Calibri" w:cs="Calibri"/>
          <w:sz w:val="22"/>
          <w:szCs w:val="22"/>
          <w:lang w:eastAsia="pl-PL"/>
        </w:rPr>
        <w:t>”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– komentuje </w:t>
      </w:r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Łukasz Lewandowski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, Prezes EV Klub Polska.</w:t>
      </w:r>
    </w:p>
    <w:p w14:paraId="38DE26D7" w14:textId="0853D153" w:rsidR="00E42652" w:rsidRPr="00313764" w:rsidRDefault="00E42652" w:rsidP="19018764">
      <w:pP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br/>
      </w:r>
      <w:r w:rsidR="5D37077C" w:rsidRPr="00313764">
        <w:rPr>
          <w:sz w:val="22"/>
          <w:szCs w:val="22"/>
        </w:rPr>
        <w:t xml:space="preserve">Jak zwraca uwagę Adrian Nocuń, CEO </w:t>
      </w:r>
      <w:proofErr w:type="spellStart"/>
      <w:r w:rsidR="5D37077C" w:rsidRPr="00313764">
        <w:rPr>
          <w:sz w:val="22"/>
          <w:szCs w:val="22"/>
        </w:rPr>
        <w:t>Elocity</w:t>
      </w:r>
      <w:proofErr w:type="spellEnd"/>
      <w:r w:rsidR="5D37077C" w:rsidRPr="00313764">
        <w:rPr>
          <w:sz w:val="22"/>
          <w:szCs w:val="22"/>
        </w:rPr>
        <w:t>, partner główn</w:t>
      </w:r>
      <w:r w:rsidR="00313764" w:rsidRPr="00313764">
        <w:rPr>
          <w:sz w:val="22"/>
          <w:szCs w:val="22"/>
        </w:rPr>
        <w:t>y</w:t>
      </w:r>
      <w:r w:rsidR="5D37077C" w:rsidRPr="00313764">
        <w:rPr>
          <w:sz w:val="22"/>
          <w:szCs w:val="22"/>
        </w:rPr>
        <w:t xml:space="preserve"> Rankingu cen ładowania, choć w krótkim okresie część operatorów decyduje się na korekty cen w górę, w dłuższej perspektywie rozwój infrastruktury ładowania i rosnąca liczba stacji będą działać na korzyść użytkowników aut elektrycznych.</w:t>
      </w:r>
    </w:p>
    <w:p w14:paraId="6F7754E6" w14:textId="6E0DC1A9" w:rsidR="00E42652" w:rsidRPr="00313764" w:rsidRDefault="00E42652" w:rsidP="19018764">
      <w:pPr>
        <w:spacing w:line="276" w:lineRule="auto"/>
        <w:jc w:val="both"/>
        <w:rPr>
          <w:sz w:val="22"/>
          <w:szCs w:val="22"/>
        </w:rPr>
      </w:pPr>
    </w:p>
    <w:p w14:paraId="32C2891A" w14:textId="4804E87C" w:rsidR="00E42652" w:rsidRPr="00313764" w:rsidRDefault="00313764" w:rsidP="00313764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13764">
        <w:rPr>
          <w:sz w:val="22"/>
          <w:szCs w:val="22"/>
        </w:rPr>
        <w:t>„</w:t>
      </w:r>
      <w:r w:rsidR="5D37077C" w:rsidRPr="00313764">
        <w:rPr>
          <w:i/>
          <w:iCs/>
          <w:sz w:val="22"/>
          <w:szCs w:val="22"/>
        </w:rPr>
        <w:t xml:space="preserve">Większa konkurencja oznacza także walkę o klienta m.in. poprzez promocje czy czasowe obniżki stawek, które obserwowaliśmy już w zeszłym roku. Warto więc na bieżąco śledzić zmiany cen i korzystać z narzędzi, które pomagają je analizować. W aplikacji </w:t>
      </w:r>
      <w:proofErr w:type="spellStart"/>
      <w:r w:rsidR="5D37077C" w:rsidRPr="00313764">
        <w:rPr>
          <w:i/>
          <w:iCs/>
          <w:sz w:val="22"/>
          <w:szCs w:val="22"/>
        </w:rPr>
        <w:t>Elocity</w:t>
      </w:r>
      <w:proofErr w:type="spellEnd"/>
      <w:r w:rsidR="5D37077C" w:rsidRPr="00313764">
        <w:rPr>
          <w:i/>
          <w:iCs/>
          <w:sz w:val="22"/>
          <w:szCs w:val="22"/>
        </w:rPr>
        <w:t xml:space="preserve"> użytkownicy mogą filtrować stacje m.in. według ceny ładowania, dzięki czemu łatwo znaleźć najkorzystniejszą ofertę w danym momencie</w:t>
      </w:r>
      <w:r w:rsidRPr="00313764">
        <w:rPr>
          <w:sz w:val="22"/>
          <w:szCs w:val="22"/>
        </w:rPr>
        <w:t>”</w:t>
      </w:r>
      <w:r w:rsidR="5D37077C" w:rsidRPr="00313764">
        <w:rPr>
          <w:sz w:val="22"/>
          <w:szCs w:val="22"/>
        </w:rPr>
        <w:t xml:space="preserve"> – zaznacza Adrian Nocuń</w:t>
      </w:r>
      <w:r w:rsidRPr="00313764">
        <w:rPr>
          <w:sz w:val="22"/>
          <w:szCs w:val="22"/>
        </w:rPr>
        <w:t>, CE</w:t>
      </w:r>
      <w:r>
        <w:rPr>
          <w:sz w:val="22"/>
          <w:szCs w:val="22"/>
        </w:rPr>
        <w:t>O</w:t>
      </w:r>
      <w:r w:rsidRPr="00313764">
        <w:rPr>
          <w:sz w:val="22"/>
          <w:szCs w:val="22"/>
        </w:rPr>
        <w:t xml:space="preserve"> </w:t>
      </w:r>
      <w:proofErr w:type="spellStart"/>
      <w:r w:rsidRPr="00313764">
        <w:rPr>
          <w:sz w:val="22"/>
          <w:szCs w:val="22"/>
        </w:rPr>
        <w:t>Elocity</w:t>
      </w:r>
      <w:proofErr w:type="spellEnd"/>
      <w:r w:rsidR="5D37077C" w:rsidRPr="00313764">
        <w:rPr>
          <w:sz w:val="22"/>
          <w:szCs w:val="22"/>
        </w:rPr>
        <w:t>.</w:t>
      </w:r>
    </w:p>
    <w:p w14:paraId="4F4D123A" w14:textId="1C18AA60" w:rsidR="00E42652" w:rsidRPr="00A87856" w:rsidRDefault="00E42652" w:rsidP="19018764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br/>
      </w:r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 xml:space="preserve">Ostatni rok dla infrastruktury ładowania był bez wątpienia jednym z lepszych w historii polskiej </w:t>
      </w:r>
      <w:proofErr w:type="spellStart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>elektromobilności</w:t>
      </w:r>
      <w:proofErr w:type="spellEnd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 xml:space="preserve">. Liczba odebranych punktów ładowania była liczona w tysiącach, a kolejne lokalizacje już niedługo zostaną oddane do użytku. Dobrym tego przykładem jest Tesla, która otworzyła kolejne </w:t>
      </w:r>
      <w:proofErr w:type="spellStart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>Superchargery</w:t>
      </w:r>
      <w:proofErr w:type="spellEnd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 xml:space="preserve"> w Polsce dla wszystkich użytkowników pojazdów elektrycznych. Tym razem amerykański producent EV uruchomił hub ładowania w Koszalinie. Łącznie Tesla posiada już 12 </w:t>
      </w:r>
      <w:proofErr w:type="spellStart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>hubów</w:t>
      </w:r>
      <w:proofErr w:type="spellEnd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 xml:space="preserve"> ładowania w Polsce dostępnych dla wszystkich użytkowników samochodów elektrycznych, sumarycznie zapewniając 163 punkty ładowania o mocy do 250 </w:t>
      </w:r>
      <w:proofErr w:type="spellStart"/>
      <w:r w:rsidR="1A8F886F" w:rsidRPr="19018764">
        <w:rPr>
          <w:rFonts w:ascii="Calibri" w:eastAsia="Times New Roman" w:hAnsi="Calibri" w:cs="Calibri"/>
          <w:sz w:val="22"/>
          <w:szCs w:val="22"/>
          <w:lang w:eastAsia="pl-PL"/>
        </w:rPr>
        <w:t>kW.</w:t>
      </w:r>
      <w:proofErr w:type="spellEnd"/>
    </w:p>
    <w:p w14:paraId="5AC11249" w14:textId="77777777" w:rsid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26B180A" w14:textId="1FEBD1B3" w:rsidR="00E42652" w:rsidRPr="00E42652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„</w:t>
      </w:r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Bez wątpienia upublicznienie kolejnych punktów ładowania jest dobrą informacją dla użytkowników pojazdów elektrycznych. Widzimy, że mapa Polski niemal nie posiada białych plam. Wyzwaniem pozostaje zwiększenie zagęszczenia punktów ładowania i dążeniu do znacznego powiększenia </w:t>
      </w:r>
      <w:proofErr w:type="spellStart"/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hubów</w:t>
      </w:r>
      <w:proofErr w:type="spellEnd"/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ładowania, zwłaszcza wśród głównych szlaków komunikacyjnych oraz dróg ekspresowych. Nie bez znaczenia będzie również wdrożenie działań na rzecz poprawy transparentności w cennikach ładowania, które obecnie stanowią wyzwanie nawet dla „heavy </w:t>
      </w:r>
      <w:proofErr w:type="spellStart"/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userów</w:t>
      </w:r>
      <w:proofErr w:type="spellEnd"/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” i w wielu przypadkach wprawiają w zakłopotanie. </w:t>
      </w:r>
      <w:r w:rsidRPr="00A87856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Bez tego trudno będzie zbudować zrozumienie i zaufanie do publicznego ładowania, które jest kluczowe zwłaszcza dla osób dużo podróżujących czy nie posiadających </w:t>
      </w:r>
      <w:r w:rsidRPr="002E293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prywatnego</w:t>
      </w:r>
      <w:r w:rsidRPr="00A87856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punktu ładowania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” – 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wskazuje </w:t>
      </w:r>
      <w:r w:rsidRPr="00A87856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Maciej Gis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, Dyrektor Komunikacji i PR PSNM oraz Redaktor Naczelny elektromobilni.pl.</w:t>
      </w:r>
    </w:p>
    <w:p w14:paraId="741E671D" w14:textId="77777777" w:rsidR="00AB5765" w:rsidRP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</w:pPr>
    </w:p>
    <w:p w14:paraId="358BAB04" w14:textId="600D18B0" w:rsidR="00044618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W </w:t>
      </w:r>
      <w:r w:rsidR="005A58BE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lutowym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rankingu uwzględniono stawki następujących operatorów: Tesla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Supercharger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ChargeEuropa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Polenergia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eMobility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ChargeIn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+, Horyzont EV,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Enefit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ScreenCharge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Lidl,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eleport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ChargeIn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+, Budimex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Mobility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Tauron, MOYA energia,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power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dot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Greenway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Polska, Shell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Recharge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NOXO, IONITY,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Ekoen</w:t>
      </w:r>
      <w:proofErr w:type="spellEnd"/>
      <w:r w:rsidR="006944E7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="006944E7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Enefit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.</w:t>
      </w:r>
    </w:p>
    <w:p w14:paraId="5BF34D6B" w14:textId="77777777" w:rsidR="00E42652" w:rsidRDefault="00E42652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0388532F" w14:textId="24BB4813" w:rsidR="00E42652" w:rsidRPr="00A87856" w:rsidRDefault="00E42652" w:rsidP="00E4265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Ranking cen ładowania, przygotowany przez Fundację EV Klub Polska oraz portal użytkowników samochodów elektrycznych elektromobilni.pl, aktualizowany jest cyklicznie co miesiąc. Ranking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dostępny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 xml:space="preserve"> jest na stronach evklub.pl, elektromobilni.pl, w aplikacji EV Klub Polska oraz na profilach mediów społecznościowych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klubu i portalu</w:t>
      </w:r>
      <w:r w:rsidRPr="00A87856">
        <w:rPr>
          <w:rFonts w:ascii="Calibri" w:eastAsia="Times New Roman" w:hAnsi="Calibri" w:cs="Calibri"/>
          <w:sz w:val="22"/>
          <w:szCs w:val="22"/>
          <w:lang w:eastAsia="pl-PL"/>
        </w:rPr>
        <w:t>.</w:t>
      </w:r>
      <w:r w:rsidR="00B910D2" w:rsidRPr="00B910D2">
        <w:t xml:space="preserve"> </w:t>
      </w:r>
      <w:r w:rsidR="00B910D2" w:rsidRPr="00B910D2">
        <w:rPr>
          <w:rFonts w:ascii="Calibri" w:eastAsia="Times New Roman" w:hAnsi="Calibri" w:cs="Calibri"/>
          <w:sz w:val="22"/>
          <w:szCs w:val="22"/>
          <w:lang w:eastAsia="pl-PL"/>
        </w:rPr>
        <w:t xml:space="preserve">Partnerem głównym rankingu jest </w:t>
      </w:r>
      <w:proofErr w:type="spellStart"/>
      <w:r w:rsidR="00B910D2" w:rsidRPr="00B910D2">
        <w:rPr>
          <w:rFonts w:ascii="Calibri" w:eastAsia="Times New Roman" w:hAnsi="Calibri" w:cs="Calibri"/>
          <w:sz w:val="22"/>
          <w:szCs w:val="22"/>
          <w:lang w:eastAsia="pl-PL"/>
        </w:rPr>
        <w:t>Elocity</w:t>
      </w:r>
      <w:proofErr w:type="spellEnd"/>
      <w:r w:rsidR="00B910D2" w:rsidRPr="00B910D2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02D369A3" w14:textId="77777777" w:rsidR="00E42652" w:rsidRPr="00AB5765" w:rsidRDefault="00E42652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4A2C8A80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</w:pPr>
    </w:p>
    <w:p w14:paraId="29CA265F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Więcej informacji: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www.EVklub.pl oraz elektromobilni.pl</w:t>
      </w:r>
    </w:p>
    <w:p w14:paraId="4B2EC422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5C2719FA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--</w:t>
      </w:r>
    </w:p>
    <w:p w14:paraId="631C6C8D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</w:pPr>
    </w:p>
    <w:p w14:paraId="547D4A2B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Kontakt</w:t>
      </w:r>
    </w:p>
    <w:p w14:paraId="0C540D0F" w14:textId="77777777" w:rsidR="005A58BE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Łukasz Lewandowski, Prezes Fundacji EV Klub Polska</w:t>
      </w:r>
    </w:p>
    <w:p w14:paraId="65933181" w14:textId="0F85C015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e-mail: lukasz.lewandowski@evklub.pl; tel.: (+48) 736 846 632</w:t>
      </w:r>
    </w:p>
    <w:p w14:paraId="5ADF128E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7C86C78A" w14:textId="38E17ADD" w:rsidR="005A58BE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Maciej Gis, </w:t>
      </w:r>
      <w:r w:rsidR="005A58BE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Dyrektor Komunikacji i PR PSNM oraz Redaktor Naczelny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elektromobilni.pl</w:t>
      </w:r>
    </w:p>
    <w:p w14:paraId="23674B68" w14:textId="34D87D2A" w:rsidR="00E96368" w:rsidRPr="00E42652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e-mail: maciej.gis@psnm.org; tel.: (+48) 606 740 357</w:t>
      </w:r>
    </w:p>
    <w:sectPr w:rsidR="00E96368" w:rsidRPr="00E42652" w:rsidSect="00B81E6F">
      <w:headerReference w:type="default" r:id="rId10"/>
      <w:footerReference w:type="default" r:id="rId11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A4AD" w14:textId="77777777" w:rsidR="00A255BB" w:rsidRDefault="00A255BB" w:rsidP="00870639">
      <w:r>
        <w:separator/>
      </w:r>
    </w:p>
  </w:endnote>
  <w:endnote w:type="continuationSeparator" w:id="0">
    <w:p w14:paraId="2D01EBF2" w14:textId="77777777" w:rsidR="00A255BB" w:rsidRDefault="00A255BB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F136" w14:textId="77777777" w:rsidR="00A255BB" w:rsidRDefault="00A255BB" w:rsidP="00870639">
      <w:r>
        <w:separator/>
      </w:r>
    </w:p>
  </w:footnote>
  <w:footnote w:type="continuationSeparator" w:id="0">
    <w:p w14:paraId="7B690200" w14:textId="77777777" w:rsidR="00A255BB" w:rsidRDefault="00A255BB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F"/>
    <w:multiLevelType w:val="multilevel"/>
    <w:tmpl w:val="B33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96"/>
    <w:multiLevelType w:val="multilevel"/>
    <w:tmpl w:val="53C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248C"/>
    <w:multiLevelType w:val="hybridMultilevel"/>
    <w:tmpl w:val="9356AEE8"/>
    <w:lvl w:ilvl="0" w:tplc="7554B7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E23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84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A8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A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C8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0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43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AE72"/>
    <w:multiLevelType w:val="hybridMultilevel"/>
    <w:tmpl w:val="CCFC964C"/>
    <w:lvl w:ilvl="0" w:tplc="7DACC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38A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26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0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0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E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CD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A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82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41D2"/>
    <w:multiLevelType w:val="hybridMultilevel"/>
    <w:tmpl w:val="236652F6"/>
    <w:lvl w:ilvl="0" w:tplc="360A7A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748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46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6C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4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A5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2D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7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8C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45F24"/>
    <w:multiLevelType w:val="multilevel"/>
    <w:tmpl w:val="6D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F655E"/>
    <w:multiLevelType w:val="hybridMultilevel"/>
    <w:tmpl w:val="8A4297DE"/>
    <w:lvl w:ilvl="0" w:tplc="9E76A1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7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F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E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68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2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67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AC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678D"/>
    <w:multiLevelType w:val="hybridMultilevel"/>
    <w:tmpl w:val="41466F14"/>
    <w:lvl w:ilvl="0" w:tplc="C3F294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C4C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04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05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CE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A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00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C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AC12"/>
    <w:multiLevelType w:val="hybridMultilevel"/>
    <w:tmpl w:val="711240DC"/>
    <w:lvl w:ilvl="0" w:tplc="B7EECA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085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8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F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C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2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0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6A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69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5652">
    <w:abstractNumId w:val="3"/>
  </w:num>
  <w:num w:numId="2" w16cid:durableId="2006975201">
    <w:abstractNumId w:val="7"/>
  </w:num>
  <w:num w:numId="3" w16cid:durableId="1488324297">
    <w:abstractNumId w:val="6"/>
  </w:num>
  <w:num w:numId="4" w16cid:durableId="2090106621">
    <w:abstractNumId w:val="9"/>
  </w:num>
  <w:num w:numId="5" w16cid:durableId="92483438">
    <w:abstractNumId w:val="11"/>
  </w:num>
  <w:num w:numId="6" w16cid:durableId="1236821429">
    <w:abstractNumId w:val="10"/>
  </w:num>
  <w:num w:numId="7" w16cid:durableId="1851988498">
    <w:abstractNumId w:val="5"/>
  </w:num>
  <w:num w:numId="8" w16cid:durableId="1878471478">
    <w:abstractNumId w:val="4"/>
  </w:num>
  <w:num w:numId="9" w16cid:durableId="1484587054">
    <w:abstractNumId w:val="2"/>
  </w:num>
  <w:num w:numId="10" w16cid:durableId="1390883659">
    <w:abstractNumId w:val="1"/>
  </w:num>
  <w:num w:numId="11" w16cid:durableId="1050232752">
    <w:abstractNumId w:val="0"/>
  </w:num>
  <w:num w:numId="12" w16cid:durableId="762645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3B3F"/>
    <w:rsid w:val="00015665"/>
    <w:rsid w:val="00034AB4"/>
    <w:rsid w:val="00042FEF"/>
    <w:rsid w:val="00044618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67D8D"/>
    <w:rsid w:val="001774A8"/>
    <w:rsid w:val="00193C18"/>
    <w:rsid w:val="001A14AA"/>
    <w:rsid w:val="001C5FCE"/>
    <w:rsid w:val="001E12E7"/>
    <w:rsid w:val="001F07D1"/>
    <w:rsid w:val="001F3145"/>
    <w:rsid w:val="0021395D"/>
    <w:rsid w:val="00223CA1"/>
    <w:rsid w:val="00236774"/>
    <w:rsid w:val="002833E5"/>
    <w:rsid w:val="00290F6B"/>
    <w:rsid w:val="002912EC"/>
    <w:rsid w:val="0029545A"/>
    <w:rsid w:val="002A70E7"/>
    <w:rsid w:val="002C5D96"/>
    <w:rsid w:val="002D2DA1"/>
    <w:rsid w:val="00313764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258E5"/>
    <w:rsid w:val="0042763A"/>
    <w:rsid w:val="00447E9C"/>
    <w:rsid w:val="004601D2"/>
    <w:rsid w:val="00463CDC"/>
    <w:rsid w:val="00476C99"/>
    <w:rsid w:val="00476E42"/>
    <w:rsid w:val="0048211E"/>
    <w:rsid w:val="00482541"/>
    <w:rsid w:val="004B3393"/>
    <w:rsid w:val="004B43DE"/>
    <w:rsid w:val="004C634F"/>
    <w:rsid w:val="004D6730"/>
    <w:rsid w:val="004E676B"/>
    <w:rsid w:val="004F0B58"/>
    <w:rsid w:val="00503B66"/>
    <w:rsid w:val="00523D5A"/>
    <w:rsid w:val="00547E02"/>
    <w:rsid w:val="005571CD"/>
    <w:rsid w:val="00571E7A"/>
    <w:rsid w:val="0057758E"/>
    <w:rsid w:val="005A46E7"/>
    <w:rsid w:val="005A58BE"/>
    <w:rsid w:val="005B1793"/>
    <w:rsid w:val="005B7606"/>
    <w:rsid w:val="005B7B64"/>
    <w:rsid w:val="005F0BF6"/>
    <w:rsid w:val="005F6073"/>
    <w:rsid w:val="005F6259"/>
    <w:rsid w:val="005F6433"/>
    <w:rsid w:val="00673AA2"/>
    <w:rsid w:val="006944E7"/>
    <w:rsid w:val="006948B2"/>
    <w:rsid w:val="006A0F24"/>
    <w:rsid w:val="006B5087"/>
    <w:rsid w:val="006C5940"/>
    <w:rsid w:val="006C7C1A"/>
    <w:rsid w:val="006D4F74"/>
    <w:rsid w:val="006F42CF"/>
    <w:rsid w:val="007151B4"/>
    <w:rsid w:val="00721F5A"/>
    <w:rsid w:val="00727A0C"/>
    <w:rsid w:val="0076789F"/>
    <w:rsid w:val="00781218"/>
    <w:rsid w:val="007E6F97"/>
    <w:rsid w:val="007F32EB"/>
    <w:rsid w:val="008010C2"/>
    <w:rsid w:val="00825B6E"/>
    <w:rsid w:val="00833D96"/>
    <w:rsid w:val="00837797"/>
    <w:rsid w:val="00862184"/>
    <w:rsid w:val="00870639"/>
    <w:rsid w:val="008B069A"/>
    <w:rsid w:val="008C0718"/>
    <w:rsid w:val="008C3DD8"/>
    <w:rsid w:val="008C6CEE"/>
    <w:rsid w:val="008F0C8A"/>
    <w:rsid w:val="00900F17"/>
    <w:rsid w:val="00905108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255BB"/>
    <w:rsid w:val="00A31AD2"/>
    <w:rsid w:val="00A3649C"/>
    <w:rsid w:val="00A37D0F"/>
    <w:rsid w:val="00A608C3"/>
    <w:rsid w:val="00A61980"/>
    <w:rsid w:val="00A67976"/>
    <w:rsid w:val="00AA1BBC"/>
    <w:rsid w:val="00AB1CB9"/>
    <w:rsid w:val="00AB5765"/>
    <w:rsid w:val="00B01334"/>
    <w:rsid w:val="00B12C30"/>
    <w:rsid w:val="00B1753A"/>
    <w:rsid w:val="00B25FDC"/>
    <w:rsid w:val="00B525B3"/>
    <w:rsid w:val="00B55CD0"/>
    <w:rsid w:val="00B65DC8"/>
    <w:rsid w:val="00B81E6F"/>
    <w:rsid w:val="00B84F63"/>
    <w:rsid w:val="00B910D2"/>
    <w:rsid w:val="00BD0934"/>
    <w:rsid w:val="00BD3531"/>
    <w:rsid w:val="00BD7C25"/>
    <w:rsid w:val="00BE1469"/>
    <w:rsid w:val="00BE2BE7"/>
    <w:rsid w:val="00BF29F9"/>
    <w:rsid w:val="00BF3AD4"/>
    <w:rsid w:val="00C22690"/>
    <w:rsid w:val="00C4615E"/>
    <w:rsid w:val="00C65865"/>
    <w:rsid w:val="00C925E8"/>
    <w:rsid w:val="00CA6732"/>
    <w:rsid w:val="00CC056E"/>
    <w:rsid w:val="00CC7958"/>
    <w:rsid w:val="00CD2E0E"/>
    <w:rsid w:val="00CE0B01"/>
    <w:rsid w:val="00CE1905"/>
    <w:rsid w:val="00CE51BD"/>
    <w:rsid w:val="00D06797"/>
    <w:rsid w:val="00D15772"/>
    <w:rsid w:val="00D407B7"/>
    <w:rsid w:val="00D46753"/>
    <w:rsid w:val="00D52D5B"/>
    <w:rsid w:val="00D706AC"/>
    <w:rsid w:val="00D73654"/>
    <w:rsid w:val="00D86BBE"/>
    <w:rsid w:val="00DA42CF"/>
    <w:rsid w:val="00DA5915"/>
    <w:rsid w:val="00DC31AB"/>
    <w:rsid w:val="00DC5F8A"/>
    <w:rsid w:val="00DE3698"/>
    <w:rsid w:val="00DE56E3"/>
    <w:rsid w:val="00DE69A3"/>
    <w:rsid w:val="00E01771"/>
    <w:rsid w:val="00E24AC1"/>
    <w:rsid w:val="00E42652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32FE"/>
    <w:rsid w:val="00F56C54"/>
    <w:rsid w:val="00F61CA5"/>
    <w:rsid w:val="00F71CD5"/>
    <w:rsid w:val="00F7548E"/>
    <w:rsid w:val="00F93FA5"/>
    <w:rsid w:val="00FA7F81"/>
    <w:rsid w:val="00FB5F32"/>
    <w:rsid w:val="00FD0342"/>
    <w:rsid w:val="00FE6547"/>
    <w:rsid w:val="073A7443"/>
    <w:rsid w:val="0950313C"/>
    <w:rsid w:val="0DFCC58D"/>
    <w:rsid w:val="10731A29"/>
    <w:rsid w:val="1095869B"/>
    <w:rsid w:val="116967A6"/>
    <w:rsid w:val="16C2E378"/>
    <w:rsid w:val="19018764"/>
    <w:rsid w:val="1A8F886F"/>
    <w:rsid w:val="26AC3E2D"/>
    <w:rsid w:val="2BA6A81B"/>
    <w:rsid w:val="3098B39E"/>
    <w:rsid w:val="3244C4D2"/>
    <w:rsid w:val="325FF124"/>
    <w:rsid w:val="37908E77"/>
    <w:rsid w:val="388D53F2"/>
    <w:rsid w:val="3EBA6BD3"/>
    <w:rsid w:val="44DF6877"/>
    <w:rsid w:val="4EE950CA"/>
    <w:rsid w:val="52EB8B45"/>
    <w:rsid w:val="550D37AA"/>
    <w:rsid w:val="55B8295D"/>
    <w:rsid w:val="55BD7B56"/>
    <w:rsid w:val="5758A340"/>
    <w:rsid w:val="59518D51"/>
    <w:rsid w:val="5CA5A9AD"/>
    <w:rsid w:val="5D37077C"/>
    <w:rsid w:val="5DFA06A0"/>
    <w:rsid w:val="5E3124CF"/>
    <w:rsid w:val="6047F86C"/>
    <w:rsid w:val="6214C74D"/>
    <w:rsid w:val="629D7DBD"/>
    <w:rsid w:val="62EFFAD7"/>
    <w:rsid w:val="63BB55B4"/>
    <w:rsid w:val="6EC36D13"/>
    <w:rsid w:val="71380446"/>
    <w:rsid w:val="77002CD0"/>
    <w:rsid w:val="79BA0EF1"/>
    <w:rsid w:val="7C05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3461F013FE84BBCAE0CC438D0AF47" ma:contentTypeVersion="13" ma:contentTypeDescription="Utwórz nowy dokument." ma:contentTypeScope="" ma:versionID="2d78e5100d65738c071c377919836671">
  <xsd:schema xmlns:xsd="http://www.w3.org/2001/XMLSchema" xmlns:xs="http://www.w3.org/2001/XMLSchema" xmlns:p="http://schemas.microsoft.com/office/2006/metadata/properties" xmlns:ns2="265882fc-cd2d-49c1-876a-e6106663b88f" xmlns:ns3="f7be6728-9e68-4f43-b631-ae176aec7829" targetNamespace="http://schemas.microsoft.com/office/2006/metadata/properties" ma:root="true" ma:fieldsID="1d99f86e5d3f9f7139d059d971ec66aa" ns2:_="" ns3:_="">
    <xsd:import namespace="265882fc-cd2d-49c1-876a-e6106663b88f"/>
    <xsd:import namespace="f7be6728-9e68-4f43-b631-ae176aec7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82fc-cd2d-49c1-876a-e6106663b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09528ce-5172-4ee8-90bf-7144e2c18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e6728-9e68-4f43-b631-ae176aec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57e9d-25c5-4325-8c3f-20c2be9ef041}" ma:internalName="TaxCatchAll" ma:showField="CatchAllData" ma:web="f7be6728-9e68-4f43-b631-ae176aec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882fc-cd2d-49c1-876a-e6106663b88f">
      <Terms xmlns="http://schemas.microsoft.com/office/infopath/2007/PartnerControls"/>
    </lcf76f155ced4ddcb4097134ff3c332f>
    <TaxCatchAll xmlns="f7be6728-9e68-4f43-b631-ae176aec7829" xsi:nil="true"/>
    <SharedWithUsers xmlns="f7be6728-9e68-4f43-b631-ae176aec78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66B5E0-D4DD-4027-A2F4-8FC10CEB7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4F0B-59B4-4F35-BC86-0E1B0928F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882fc-cd2d-49c1-876a-e6106663b88f"/>
    <ds:schemaRef ds:uri="f7be6728-9e68-4f43-b631-ae176aec7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EF7F0-E71E-42D4-A2AE-2799846431D4}">
  <ds:schemaRefs>
    <ds:schemaRef ds:uri="http://schemas.microsoft.com/office/2006/metadata/properties"/>
    <ds:schemaRef ds:uri="http://schemas.microsoft.com/office/infopath/2007/PartnerControls"/>
    <ds:schemaRef ds:uri="265882fc-cd2d-49c1-876a-e6106663b88f"/>
    <ds:schemaRef ds:uri="f7be6728-9e68-4f43-b631-ae176aec7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5</cp:revision>
  <dcterms:created xsi:type="dcterms:W3CDTF">2026-03-09T16:13:00Z</dcterms:created>
  <dcterms:modified xsi:type="dcterms:W3CDTF">2026-03-10T07:44:00Z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0x0101008AF3461F013FE84BBCAE0CC438D0AF47</vt:lpwstr>
  </property>
  <property fmtid="{D5CDD505-2E9C-101B-9397-08002B2CF9AE}" pid="3" name="Order">
    <vt:r8>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