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CD70" w14:textId="443698DE" w:rsidR="009B0C95" w:rsidRPr="0014219D" w:rsidRDefault="004E2395" w:rsidP="3AAC2A1D">
      <w:pPr>
        <w:spacing w:after="160" w:line="278" w:lineRule="auto"/>
        <w:jc w:val="center"/>
        <w:rPr>
          <w:rFonts w:ascii="Direct Sans Semibold" w:eastAsiaTheme="minorEastAsia" w:hAnsi="Direct Sans Semibold" w:cs="Times New Roman (Z__kladn__ tex"/>
          <w:b/>
          <w:bCs/>
          <w:color w:val="004033"/>
          <w:kern w:val="2"/>
          <w:sz w:val="34"/>
          <w:szCs w:val="34"/>
          <w:lang w:eastAsia="en-US"/>
          <w14:ligatures w14:val="standardContextual"/>
        </w:rPr>
      </w:pPr>
      <w:r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 xml:space="preserve">Index Direct </w:t>
      </w:r>
      <w:proofErr w:type="spellStart"/>
      <w:r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>Fidoo</w:t>
      </w:r>
      <w:proofErr w:type="spellEnd"/>
      <w:r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 xml:space="preserve">: </w:t>
      </w:r>
      <w:r w:rsidR="3AAC2A1D" w:rsidRPr="3AAC2A1D"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 xml:space="preserve">Přibližně každá pátá česká </w:t>
      </w:r>
      <w:r w:rsidR="00C818FA"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 xml:space="preserve">malá a střední </w:t>
      </w:r>
      <w:r w:rsidR="3AAC2A1D" w:rsidRPr="3AAC2A1D"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 xml:space="preserve">firma platí za AI. </w:t>
      </w:r>
      <w:proofErr w:type="spellStart"/>
      <w:r w:rsidR="3AAC2A1D" w:rsidRPr="3AAC2A1D"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>Anthropic</w:t>
      </w:r>
      <w:proofErr w:type="spellEnd"/>
      <w:r w:rsidR="3AAC2A1D" w:rsidRPr="3AAC2A1D"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 xml:space="preserve"> se dostal na první místo před </w:t>
      </w:r>
      <w:proofErr w:type="spellStart"/>
      <w:r w:rsidR="3AAC2A1D" w:rsidRPr="3AAC2A1D">
        <w:rPr>
          <w:rFonts w:ascii="Direct Sans Semibold" w:eastAsiaTheme="minorEastAsia" w:hAnsi="Direct Sans Semibold" w:cs="Times New Roman (Z__kladn__ tex"/>
          <w:b/>
          <w:bCs/>
          <w:color w:val="004033"/>
          <w:sz w:val="34"/>
          <w:szCs w:val="34"/>
          <w:lang w:eastAsia="en-US"/>
        </w:rPr>
        <w:t>OpenAI</w:t>
      </w:r>
      <w:proofErr w:type="spellEnd"/>
    </w:p>
    <w:p w14:paraId="3CBD8F86" w14:textId="67EDCC58" w:rsidR="00811555" w:rsidRPr="00734702" w:rsidRDefault="00014CF8" w:rsidP="3AAC2A1D">
      <w:pPr>
        <w:spacing w:after="160" w:line="278" w:lineRule="auto"/>
        <w:jc w:val="both"/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  <w14:ligatures w14:val="standardContextual"/>
        </w:rPr>
      </w:pPr>
      <w:r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  <w14:ligatures w14:val="standardContextual"/>
        </w:rPr>
        <w:t>Praha</w:t>
      </w:r>
      <w:r w:rsidR="009F4010"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  <w14:ligatures w14:val="standardContextual"/>
        </w:rPr>
        <w:t xml:space="preserve">, </w:t>
      </w:r>
      <w:r w:rsidR="009F4010"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2</w:t>
      </w:r>
      <w:r w:rsid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9</w:t>
      </w:r>
      <w:r w:rsidR="009F4010"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.07</w:t>
      </w:r>
      <w:r w:rsidR="3AAC2A1D"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.</w:t>
      </w:r>
      <w:r w:rsidR="00C818FA"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2026</w:t>
      </w:r>
      <w:r w:rsidR="00F27935"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– </w:t>
      </w:r>
      <w:r w:rsidR="00234426" w:rsidRPr="004E06C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Ještě</w:t>
      </w:r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před rokem směřovala většina firemních výdajů za umělou inteligenci do </w:t>
      </w:r>
      <w:proofErr w:type="spellStart"/>
      <w:r w:rsidR="00BB6A2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OpenAI</w:t>
      </w:r>
      <w:proofErr w:type="spellEnd"/>
      <w:r w:rsidR="00BB6A2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a </w:t>
      </w:r>
      <w:r w:rsidR="003449CA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její </w:t>
      </w:r>
      <w:proofErr w:type="spellStart"/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ChatGPT</w:t>
      </w:r>
      <w:proofErr w:type="spellEnd"/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.</w:t>
      </w:r>
      <w:r w:rsidR="001429D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Dnes </w:t>
      </w:r>
      <w:r w:rsidR="00473FC7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se jejich struktura proměnila.</w:t>
      </w:r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Přibližně </w:t>
      </w:r>
      <w:r w:rsidR="680D5412" w:rsidRPr="3AAC2A1D" w:rsidDel="00234426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sedmdesát procent výdajů</w:t>
      </w:r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,</w:t>
      </w:r>
      <w:r w:rsidR="3AAC2A1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které firmy utratí za AI, </w:t>
      </w:r>
      <w:r w:rsidR="00A3028E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za první čtvrtletí</w:t>
      </w:r>
      <w:r w:rsidR="00806BBA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míří k </w:t>
      </w:r>
      <w:proofErr w:type="spellStart"/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Anthropicu</w:t>
      </w:r>
      <w:proofErr w:type="spellEnd"/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, tvůrci modelů Claude. </w:t>
      </w:r>
      <w:r w:rsidR="00D62B2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Ukazují</w:t>
      </w:r>
      <w:r w:rsidR="00207C4E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to data z transakcí </w:t>
      </w:r>
      <w:r w:rsidR="00D62B2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společnosti </w:t>
      </w:r>
      <w:r w:rsidR="00207C4E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Direct </w:t>
      </w:r>
      <w:proofErr w:type="spellStart"/>
      <w:r w:rsidR="00207C4E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Fidoo</w:t>
      </w:r>
      <w:proofErr w:type="spellEnd"/>
      <w:r w:rsidR="00F06985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a jejího </w:t>
      </w:r>
      <w:r w:rsidR="00C818F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E</w:t>
      </w:r>
      <w:r w:rsidR="00D62B2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xpanse</w:t>
      </w:r>
      <w:r w:rsidR="00207C4E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00C818FA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M</w:t>
      </w:r>
      <w:r w:rsidR="00207C4E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anagementu</w:t>
      </w:r>
      <w:r w:rsidR="3AAC2A1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. </w:t>
      </w:r>
      <w:r w:rsidR="009966CF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Za</w:t>
      </w:r>
      <w:r w:rsidR="00234426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AI nástroje dnes platí přibližně každá pátá firma</w:t>
      </w:r>
      <w:r w:rsidR="00756B08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00AF2707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a </w:t>
      </w:r>
      <w:r w:rsidR="009966CF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dle odhadů</w:t>
      </w:r>
      <w:r w:rsidR="00C05549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64AEC1C8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Fidoo</w:t>
      </w:r>
      <w:proofErr w:type="spellEnd"/>
      <w:r w:rsidR="64AEC1C8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00C05549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do roka</w:t>
      </w:r>
      <w:r w:rsidR="009966CF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29842D38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u českých </w:t>
      </w:r>
      <w:r w:rsidR="6A5AF127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SME poteče</w:t>
      </w:r>
      <w:r w:rsidR="009966CF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do AI</w:t>
      </w:r>
      <w:r w:rsidR="00610488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009966CF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přes miliardu ročních firemních </w:t>
      </w:r>
      <w:r w:rsidR="004C4BF5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>výdajů</w:t>
      </w:r>
      <w:r w:rsidR="3AAC2A1D" w:rsidRPr="3AAC2A1D">
        <w:rPr>
          <w:rFonts w:ascii="Direct Sans Medium" w:eastAsiaTheme="minorEastAsia" w:hAnsi="Direct Sans Medium" w:cs="_______2"/>
          <w:b/>
          <w:bCs/>
          <w:color w:val="000000" w:themeColor="text1"/>
          <w:sz w:val="24"/>
          <w:szCs w:val="24"/>
          <w:lang w:eastAsia="en-US"/>
        </w:rPr>
        <w:t xml:space="preserve">. </w:t>
      </w:r>
    </w:p>
    <w:p w14:paraId="273D4A9E" w14:textId="3BBB56A8" w:rsidR="00854527" w:rsidRPr="00E162B2" w:rsidRDefault="00854527" w:rsidP="509B5218">
      <w:pPr>
        <w:spacing w:after="160" w:line="278" w:lineRule="auto"/>
        <w:jc w:val="both"/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</w:pP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AI se z experimentální technologie rychle stává běžnou součástí firemního provozu. </w:t>
      </w:r>
      <w:r w:rsidR="00D509F7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>P</w:t>
      </w: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odle Českého statistického úřadu využívalo v roce 2025 alespoň jednu AI technologii 18 % českých podniků </w:t>
      </w:r>
      <w:r w:rsidR="00BD4B10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s</w:t>
      </w:r>
      <w:r w:rsidR="00BD4B10" w:rsidRPr="509B5218" w:rsidDel="00BD4B10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 </w:t>
      </w: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deseti a více zaměstnanci</w:t>
      </w:r>
      <w:r w:rsidR="3D332B57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.</w:t>
      </w: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</w:t>
      </w:r>
      <w:r w:rsidR="003FFD36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D</w:t>
      </w: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ata Direct </w:t>
      </w:r>
      <w:proofErr w:type="spellStart"/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Fidoo</w:t>
      </w:r>
      <w:proofErr w:type="spellEnd"/>
      <w:r w:rsidR="1FC5AECD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pak</w:t>
      </w: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ukazují, že přibližně stejný podíl firem</w:t>
      </w:r>
      <w:r w:rsidR="008629C5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</w:t>
      </w: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si už za AI aktivně platí. Na vzorku zhruba 1 500 malých a středních podniků si některý z AI nástrojů – od </w:t>
      </w:r>
      <w:proofErr w:type="spellStart"/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ChatGPT</w:t>
      </w:r>
      <w:proofErr w:type="spellEnd"/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přes Microsoft </w:t>
      </w:r>
      <w:proofErr w:type="spellStart"/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Copilot</w:t>
      </w:r>
      <w:proofErr w:type="spellEnd"/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až po Claude </w:t>
      </w:r>
      <w:proofErr w:type="spellStart"/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Code</w:t>
      </w:r>
      <w:proofErr w:type="spellEnd"/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– předplácí 18 % společností.</w:t>
      </w:r>
    </w:p>
    <w:p w14:paraId="6C6E3D73" w14:textId="710439E9" w:rsidR="009D69BC" w:rsidRPr="009D69BC" w:rsidRDefault="009D69BC" w:rsidP="6939C2BA">
      <w:pPr>
        <w:spacing w:after="160" w:line="278" w:lineRule="auto"/>
        <w:jc w:val="both"/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</w:pPr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Rychle roste i objem firemních výdajů. Mezi lety 2024 a 2025 se výdaje za AI služby téměř zčtyřnásobily a jen za první pololetí roku 2026 firmy ve vzorku Direct </w:t>
      </w:r>
      <w:proofErr w:type="spellStart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Fidoo</w:t>
      </w:r>
      <w:proofErr w:type="spellEnd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utratily za AI více než za celý předchozí rok. </w:t>
      </w:r>
    </w:p>
    <w:p w14:paraId="175A8679" w14:textId="08153486" w:rsidR="005B5C61" w:rsidRDefault="005F4120" w:rsidP="00721D9C">
      <w:pPr>
        <w:spacing w:before="320" w:after="140" w:line="360" w:lineRule="auto"/>
        <w:jc w:val="center"/>
        <w:rPr>
          <w:rFonts w:ascii="Direct Sans Semibold" w:eastAsiaTheme="minorEastAsia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</w:pPr>
      <w:r>
        <w:rPr>
          <w:noProof/>
        </w:rPr>
        <w:drawing>
          <wp:inline distT="0" distB="0" distL="0" distR="0" wp14:anchorId="7276E2C3" wp14:editId="6F2F52C1">
            <wp:extent cx="5144756" cy="3438391"/>
            <wp:effectExtent l="0" t="0" r="0" b="3810"/>
            <wp:docPr id="1097455868" name="Obrázek 2" descr="Obsah obrázku text, snímek obrazovky, diagram, číslo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47FD75F5-475A-4A8C-BAB4-A55425AF21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55868" name="Obrázek 2" descr="Obsah obrázku text, snímek obrazovky, diagram, číslo&#10;&#10;Obsah generovaný pomocí AI může být nesprávný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972" cy="345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4ECF0" w14:textId="77777777" w:rsidR="005B5C61" w:rsidRDefault="005B5C61" w:rsidP="6939C2BA">
      <w:pPr>
        <w:jc w:val="both"/>
        <w:rPr>
          <w:rFonts w:ascii="Direct Sans Semibold" w:eastAsiaTheme="minorEastAsia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</w:pPr>
    </w:p>
    <w:p w14:paraId="0BD1780C" w14:textId="483A0590" w:rsidR="00B95D67" w:rsidRPr="00B95D67" w:rsidRDefault="45BDD290" w:rsidP="42FE55AC">
      <w:pPr>
        <w:jc w:val="both"/>
        <w:rPr>
          <w:rFonts w:ascii="Direct Sans Semibold" w:eastAsiaTheme="minorEastAsia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</w:pPr>
      <w:r w:rsidRPr="42FE55AC">
        <w:rPr>
          <w:rFonts w:ascii="Direct Sans Semibold" w:eastAsiaTheme="minorEastAsia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  <w:t>Zažíváme</w:t>
      </w:r>
      <w:r w:rsidRPr="42FE55AC">
        <w:rPr>
          <w:rFonts w:ascii="Direct Sans Semibold" w:eastAsiaTheme="minorEastAsia" w:hAnsi="Direct Sans Semibold" w:cs="Times New Roman (Z__kladn__ tex"/>
          <w:b/>
          <w:bCs/>
          <w:color w:val="004033"/>
          <w:sz w:val="24"/>
          <w:szCs w:val="24"/>
          <w:lang w:eastAsia="en-US"/>
        </w:rPr>
        <w:t xml:space="preserve"> druhou vlnu AI </w:t>
      </w:r>
    </w:p>
    <w:p w14:paraId="4035AA81" w14:textId="491988C4" w:rsidR="001C4EB1" w:rsidRPr="00E162B2" w:rsidRDefault="001C4EB1" w:rsidP="6939C2BA">
      <w:pPr>
        <w:spacing w:after="160" w:line="278" w:lineRule="auto"/>
        <w:jc w:val="both"/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</w:pPr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Podle dat Direct </w:t>
      </w:r>
      <w:proofErr w:type="spellStart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Fidoo</w:t>
      </w:r>
      <w:proofErr w:type="spellEnd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ještě v polovině roku 2025 směřovalo přibližně 70 až 80 % všech firemních AI výdajů do </w:t>
      </w:r>
      <w:proofErr w:type="spellStart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OpenAI</w:t>
      </w:r>
      <w:proofErr w:type="spellEnd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. </w:t>
      </w:r>
      <w:r w:rsidR="00414161"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Nyní se </w:t>
      </w:r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>situace změnila</w:t>
      </w:r>
      <w:r w:rsidR="00414161"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: </w:t>
      </w:r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ve druhém čtvrtletí 2026 připadalo přibližně 70 % výdajů na </w:t>
      </w:r>
      <w:proofErr w:type="spellStart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Anthropic</w:t>
      </w:r>
      <w:proofErr w:type="spellEnd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, zatímco podíl </w:t>
      </w:r>
      <w:proofErr w:type="spellStart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OpenAI</w:t>
      </w:r>
      <w:proofErr w:type="spellEnd"/>
      <w:r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klesl na zhruba 21 %.</w:t>
      </w:r>
      <w:r w:rsidR="4F8E2342" w:rsidRPr="6939C2BA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</w:t>
      </w:r>
    </w:p>
    <w:p w14:paraId="6033BBEF" w14:textId="77777777" w:rsidR="003C3B9D" w:rsidRDefault="003C3B9D" w:rsidP="1EE48FC0">
      <w:pPr>
        <w:spacing w:before="320" w:after="140" w:line="360" w:lineRule="auto"/>
        <w:jc w:val="center"/>
        <w:rPr>
          <w:rFonts w:ascii="Direct Sans Medium" w:eastAsiaTheme="minorEastAsia" w:hAnsi="Direct Sans Medium" w:cs="_______2"/>
          <w:color w:val="000000" w:themeColor="text1"/>
          <w:sz w:val="24"/>
          <w:szCs w:val="24"/>
          <w:lang w:eastAsia="en-US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3AB71E83" wp14:editId="55FF8398">
            <wp:extent cx="4076700" cy="2095500"/>
            <wp:effectExtent l="0" t="0" r="0" b="0"/>
            <wp:docPr id="1791647948" name="Obrázek 1" descr="Obsah obrázku text, snímek obrazovky, kruh, Písmo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EB7E1AA3-6D10-4EB1-99AF-6A083A540B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47948" name="Obrázek 1" descr="Obsah obrázku text, snímek obrazovky, kruh, Písmo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618B7" w14:textId="26F89738" w:rsidR="008E3D78" w:rsidRDefault="00F41F88" w:rsidP="42FE55AC">
      <w:pPr>
        <w:spacing w:after="160" w:line="278" w:lineRule="auto"/>
        <w:jc w:val="both"/>
      </w:pPr>
      <w:r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Z ekonomického pohledu jde o důležitou změnu. </w:t>
      </w:r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Zatímco za služby </w:t>
      </w:r>
      <w:proofErr w:type="spellStart"/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OpenAI</w:t>
      </w:r>
      <w:proofErr w:type="spellEnd"/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utratí průměrná firma přibližně 6 tisíc korun za čtvrtletí, u </w:t>
      </w:r>
      <w:proofErr w:type="spellStart"/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Anthropicu</w:t>
      </w:r>
      <w:proofErr w:type="spellEnd"/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je to zhruba 20 tisíc korun. Vyšší průměrná útrata naznačuje, že firmy AI stále častěji využívají nejen jako osobního asistenta, ale i jako podporu při vývoji softwaru nebo automatizaci. To potvrzuje i růst výdajů na vývojářské nástroje, například GitHub </w:t>
      </w:r>
      <w:proofErr w:type="spellStart"/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Copilot</w:t>
      </w:r>
      <w:proofErr w:type="spellEnd"/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nebo </w:t>
      </w:r>
      <w:proofErr w:type="spellStart"/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Cursor</w:t>
      </w:r>
      <w:proofErr w:type="spellEnd"/>
      <w:r w:rsidR="79E5F69B" w:rsidRPr="42FE55AC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.</w:t>
      </w:r>
    </w:p>
    <w:p w14:paraId="57AAD98A" w14:textId="7301E015" w:rsidR="6001DD95" w:rsidRDefault="3AAC2A1D" w:rsidP="3AAC2A1D">
      <w:pPr>
        <w:spacing w:after="160" w:line="278" w:lineRule="auto"/>
        <w:jc w:val="both"/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</w:pPr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„Zažíváme druhou AI vlnu. Zatímco první byla o tom, jestli </w:t>
      </w:r>
      <w:proofErr w:type="spellStart"/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ChatGPT</w:t>
      </w:r>
      <w:proofErr w:type="spellEnd"/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 ve firmách vůbec používat, ta druhá je o tom, jak AI dostat do každodenního fungování firmy. Přesouváme se od chatbotů pro jednotlivce k nástrojům, které pohánějí vývoj, automatizaci nebo práci s daty. AI se tím stává novým typem provozního nákladu a firmy ji budou muset začít řídit stejně jako jakýkoli jiný významný firemní výdaj,“ říká</w:t>
      </w:r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Radek Hájek, C</w:t>
      </w:r>
      <w:r w:rsidR="004C4BF5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</w:t>
      </w:r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O Direct </w:t>
      </w:r>
      <w:proofErr w:type="spellStart"/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Fidoo</w:t>
      </w:r>
      <w:proofErr w:type="spellEnd"/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.</w:t>
      </w:r>
    </w:p>
    <w:p w14:paraId="691DF80B" w14:textId="45306CB8" w:rsidR="7B3A2B46" w:rsidRPr="007E2500" w:rsidRDefault="7B3A2B46" w:rsidP="6001DD95">
      <w:pPr>
        <w:spacing w:after="160" w:line="278" w:lineRule="auto"/>
        <w:jc w:val="both"/>
        <w:rPr>
          <w:rFonts w:ascii="Direct Sans" w:eastAsiaTheme="minorEastAsia" w:hAnsi="Direct Sans"/>
          <w:b/>
          <w:bCs/>
          <w:color w:val="000000" w:themeColor="text1"/>
          <w:sz w:val="24"/>
          <w:szCs w:val="24"/>
          <w:lang w:eastAsia="en-US"/>
        </w:rPr>
      </w:pPr>
      <w:r w:rsidRPr="007E2500">
        <w:rPr>
          <w:rFonts w:ascii="Direct Sans" w:eastAsiaTheme="minorEastAsia" w:hAnsi="Direct Sans"/>
          <w:b/>
          <w:bCs/>
          <w:color w:val="000000" w:themeColor="text1"/>
          <w:sz w:val="24"/>
          <w:szCs w:val="24"/>
          <w:lang w:eastAsia="en-US"/>
        </w:rPr>
        <w:t xml:space="preserve">Jak to vidí </w:t>
      </w:r>
      <w:r w:rsidRPr="6001DD95">
        <w:rPr>
          <w:rFonts w:ascii="Direct Sans" w:eastAsiaTheme="minorEastAsia" w:hAnsi="Direct Sans"/>
          <w:b/>
          <w:bCs/>
          <w:color w:val="000000" w:themeColor="text1"/>
          <w:sz w:val="24"/>
          <w:szCs w:val="24"/>
          <w:lang w:eastAsia="en-US"/>
        </w:rPr>
        <w:t>český AI startup</w:t>
      </w:r>
    </w:p>
    <w:p w14:paraId="3CC2DC02" w14:textId="04CE1837" w:rsidR="00FC6C9B" w:rsidRDefault="00FC6C9B" w:rsidP="509B5218">
      <w:pPr>
        <w:spacing w:after="160" w:line="278" w:lineRule="auto"/>
        <w:jc w:val="both"/>
        <w:rPr>
          <w:rFonts w:ascii="Aptos" w:eastAsia="Aptos" w:hAnsi="Aptos" w:cs="Aptos"/>
          <w:i/>
          <w:iCs/>
          <w:sz w:val="24"/>
          <w:szCs w:val="24"/>
        </w:rPr>
      </w:pP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Ukazuje se tak, že implementace AI do firemních infrastruktur se děje ve dvou vlnách: první vlna byla postavená především na předplatném chatbotů pro jednotlivé zaměstnance, dnes stále větší část výdajů směřuje k nástrojům využívaným při vývoji softwaru. To potvrzuje </w:t>
      </w:r>
      <w:r w:rsidR="001E3EAF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i Roman </w:t>
      </w:r>
      <w:proofErr w:type="spellStart"/>
      <w:r w:rsidR="001E3EAF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Berglowie</w:t>
      </w:r>
      <w:r w:rsidR="000B7262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</w:t>
      </w:r>
      <w:proofErr w:type="spellEnd"/>
      <w:r w:rsidR="001E3EAF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, CEO společnosti </w:t>
      </w:r>
      <w:proofErr w:type="spellStart"/>
      <w:r w:rsidR="001E3EAF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Everbot</w:t>
      </w:r>
      <w:proofErr w:type="spellEnd"/>
      <w:r w:rsidR="001E3EAF"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. </w:t>
      </w:r>
    </w:p>
    <w:p w14:paraId="60DFEA27" w14:textId="0E733370" w:rsidR="05AB63EB" w:rsidRPr="00721D9C" w:rsidRDefault="3AAC2A1D" w:rsidP="3AAC2A1D">
      <w:pPr>
        <w:spacing w:after="160" w:line="276" w:lineRule="auto"/>
        <w:jc w:val="both"/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</w:pPr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„Rostoucí výdaje za AI nástroje vidíme i my denně u firem, se kterými pracujeme. </w:t>
      </w:r>
      <w:r w:rsidR="00EE4463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Je dobré ale nezapomínat i na to, že v</w:t>
      </w:r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elká část AI výdajů zůstává skrytá v cloudových platformách, fakturách nebo jiných firemních nástrojích, a tak jsou možná vyšší a různorodější. Zajímavé je především to, na co se ta útrata váže: AI se čím dál víc nasazuje na úlohy s obrovskou spotřebou, třeba přes nástroje jako Claude </w:t>
      </w:r>
      <w:proofErr w:type="spellStart"/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Code</w:t>
      </w:r>
      <w:proofErr w:type="spellEnd"/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 na programování, práci s rozsáhlými dokumenty nebo automatizaci. Sedí to i s tím, co vidíme jinde: AI se u malých a středních podniků nejrychleji dostává do oblasti marketingu, obchodu, podpory a administrativy, kde firmy tvoří obsah, nabídky nebo zpracovávají dokumenty. </w:t>
      </w:r>
    </w:p>
    <w:p w14:paraId="12A484F7" w14:textId="737A1359" w:rsidR="05AB63EB" w:rsidRPr="00721D9C" w:rsidRDefault="05AB63EB" w:rsidP="509B5218">
      <w:pPr>
        <w:spacing w:after="160" w:line="276" w:lineRule="auto"/>
        <w:jc w:val="both"/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</w:pPr>
      <w:r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Zajímavější otázka</w:t>
      </w:r>
      <w:r w:rsidR="059EDCDA"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,</w:t>
      </w:r>
      <w:r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 než kdo vede v</w:t>
      </w:r>
      <w:r w:rsidR="004A67CC"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 </w:t>
      </w:r>
      <w:r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útratě</w:t>
      </w:r>
      <w:r w:rsidR="004A67CC"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,</w:t>
      </w:r>
      <w:r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 je podle mě i to, jestli to firmám vůbec pomáhá, protože většina jich má nástrojů až moc a netuší, jak je dostat do každodenní práce celého týmu. Samotná útrata za AI totiž neříká, jestli </w:t>
      </w:r>
      <w:r w:rsidR="148DD63D"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díky ní </w:t>
      </w:r>
      <w:r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>firma reálně šetří čas, snižuje náklady nebo vydělává víc</w:t>
      </w:r>
      <w:r w:rsidR="00D72614"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,“ </w:t>
      </w:r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komentuje Roman </w:t>
      </w:r>
      <w:proofErr w:type="spellStart"/>
      <w:r w:rsidRPr="509B5218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Berglowiec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</w:rPr>
        <w:t xml:space="preserve">. </w:t>
      </w:r>
    </w:p>
    <w:p w14:paraId="023159F0" w14:textId="3F38ACD3" w:rsidR="009A2779" w:rsidRPr="009A2779" w:rsidRDefault="00707AAF" w:rsidP="009A2779">
      <w:pPr>
        <w:jc w:val="both"/>
        <w:rPr>
          <w:rFonts w:ascii="Direct Sans Semibold" w:eastAsiaTheme="minorHAnsi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</w:pPr>
      <w:r w:rsidRPr="009A2779">
        <w:rPr>
          <w:rFonts w:ascii="Direct Sans Semibold" w:eastAsiaTheme="minorHAnsi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  <w:t>Půl miliardy</w:t>
      </w:r>
      <w:r w:rsidR="009A2779">
        <w:rPr>
          <w:rFonts w:ascii="Direct Sans Semibold" w:eastAsiaTheme="minorHAnsi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  <w:t xml:space="preserve"> letos, miliarda příští rok </w:t>
      </w:r>
    </w:p>
    <w:p w14:paraId="6AE0349D" w14:textId="3CDE6CFE" w:rsidR="008C3FA8" w:rsidRPr="001C4CDC" w:rsidRDefault="008C3FA8" w:rsidP="001C4CDC">
      <w:pPr>
        <w:spacing w:after="160" w:line="278" w:lineRule="auto"/>
        <w:jc w:val="both"/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</w:pPr>
      <w:r w:rsidRPr="001C4CDC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t xml:space="preserve">Data Direct </w:t>
      </w:r>
      <w:proofErr w:type="spellStart"/>
      <w:r w:rsidRPr="001C4CDC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t>Fidoo</w:t>
      </w:r>
      <w:proofErr w:type="spellEnd"/>
      <w:r w:rsidRPr="001C4CDC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t xml:space="preserve"> naznačují, že výdaje českých firem za umělou inteligenci už dnes dosahují stovek milionů korun ročně. Na základě anonymizovaných transakcí přibližně 1 500 malých a středních </w:t>
      </w:r>
      <w:r w:rsidRPr="001C4CDC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lastRenderedPageBreak/>
        <w:t xml:space="preserve">podniků </w:t>
      </w:r>
      <w:proofErr w:type="spellStart"/>
      <w:r w:rsidR="00A2501F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t>Fidoo</w:t>
      </w:r>
      <w:proofErr w:type="spellEnd"/>
      <w:r w:rsidR="00A2501F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t xml:space="preserve"> </w:t>
      </w:r>
      <w:r w:rsidRPr="001C4CDC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t>odhaduje, že firmy s deseti a více zaměstnanci letos za AI nástroje utratí 300 až 900 milionů korun, nejpravděpodobněji kolem půl miliardy korun.</w:t>
      </w:r>
    </w:p>
    <w:p w14:paraId="364F4E17" w14:textId="4E3ED1D2" w:rsidR="008C3FA8" w:rsidRDefault="008C3FA8" w:rsidP="3AAC2A1D">
      <w:pPr>
        <w:spacing w:after="160" w:line="278" w:lineRule="auto"/>
        <w:jc w:val="both"/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</w:pPr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Jde přitom o konzervativní odhad, který nezahrnuje </w:t>
      </w:r>
      <w:proofErr w:type="spellStart"/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>mikrofirmy</w:t>
      </w:r>
      <w:proofErr w:type="spellEnd"/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>, velké podniky ani AI služby hrazené mimo platební karty. Celkové výdaje českých firem na AI se tak mohou pohybovat v řádu jednotek miliard korun ročně. Pokud současné tempo růstu vydrží, můž</w:t>
      </w:r>
      <w:r w:rsidR="00707AAF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>ou české SME</w:t>
      </w:r>
      <w:r w:rsidR="005249CF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 </w:t>
      </w:r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překročit </w:t>
      </w:r>
      <w:r w:rsidR="005249CF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hranici jedné až dvou </w:t>
      </w:r>
      <w:r w:rsidR="3AAC2A1D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miliard</w:t>
      </w:r>
      <w:r w:rsidR="00A435DE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y</w:t>
      </w:r>
      <w:r w:rsidR="3AAC2A1D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 zainvestovaných do AI </w:t>
      </w:r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>už v roce 2027.</w:t>
      </w:r>
    </w:p>
    <w:p w14:paraId="62BC4252" w14:textId="4AF13DF0" w:rsidR="009F0ABE" w:rsidRPr="001C4CDC" w:rsidRDefault="009F0ABE" w:rsidP="3AAC2A1D">
      <w:pPr>
        <w:spacing w:after="160" w:line="278" w:lineRule="auto"/>
        <w:jc w:val="both"/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</w:pPr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  <w14:ligatures w14:val="standardContextual"/>
        </w:rPr>
        <w:t xml:space="preserve">„Stejně jako se před lety běžnou součástí firemních rozpočtů stal cloud nebo </w:t>
      </w:r>
      <w:proofErr w:type="spellStart"/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  <w14:ligatures w14:val="standardContextual"/>
        </w:rPr>
        <w:t>SaaS</w:t>
      </w:r>
      <w:proofErr w:type="spellEnd"/>
      <w:r w:rsidRPr="3AAC2A1D">
        <w:rPr>
          <w:rFonts w:ascii="Direct Sans" w:eastAsiaTheme="minorEastAsia" w:hAnsi="Direct Sans"/>
          <w:i/>
          <w:iCs/>
          <w:color w:val="000000" w:themeColor="text1"/>
          <w:sz w:val="24"/>
          <w:szCs w:val="24"/>
          <w:lang w:eastAsia="en-US"/>
          <w14:ligatures w14:val="standardContextual"/>
        </w:rPr>
        <w:t xml:space="preserve"> služby, stává se jí dnes umělá inteligence. Nejdůležitější otázkou už není, jestli firmy AI používají, ale jestli mají pod kontrolou, kolik je stojí a jakou hodnotu jim přináší. Právě schopnost řídit tyto nové digitální výdaje bude podle mě jednou z největších konkurenčních výhod příštích let,“</w:t>
      </w:r>
      <w:r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  <w14:ligatures w14:val="standardContextual"/>
        </w:rPr>
        <w:t xml:space="preserve"> říká Radek Hájek, </w:t>
      </w:r>
      <w:r w:rsidR="3AAC2A1D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</w:t>
      </w:r>
      <w:r w:rsidR="00A435DE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C</w:t>
      </w:r>
      <w:r w:rsidR="3AAC2A1D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 xml:space="preserve">O Direct </w:t>
      </w:r>
      <w:proofErr w:type="spellStart"/>
      <w:r w:rsidR="3AAC2A1D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Fidoo</w:t>
      </w:r>
      <w:proofErr w:type="spellEnd"/>
      <w:r w:rsidR="3AAC2A1D" w:rsidRPr="3AAC2A1D">
        <w:rPr>
          <w:rFonts w:ascii="Direct Sans" w:eastAsiaTheme="minorEastAsia" w:hAnsi="Direct Sans"/>
          <w:color w:val="000000" w:themeColor="text1"/>
          <w:sz w:val="24"/>
          <w:szCs w:val="24"/>
          <w:lang w:eastAsia="en-US"/>
        </w:rPr>
        <w:t>.</w:t>
      </w:r>
    </w:p>
    <w:p w14:paraId="1B73A724" w14:textId="77777777" w:rsidR="008C3FA8" w:rsidRPr="00414161" w:rsidRDefault="008C3FA8" w:rsidP="001C4CDC">
      <w:pPr>
        <w:spacing w:after="160" w:line="278" w:lineRule="auto"/>
        <w:jc w:val="both"/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</w:pPr>
      <w:r w:rsidRPr="001C4CDC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t>Český vývoj navíc kopíruje globální trend. Podle letošního BCG AI Radaru dosáhnou firemní investice do AI v roce 2026 v průměru 1,7 % tržeb, téměř dvojnásobku</w:t>
      </w:r>
      <w:r w:rsidRPr="00414161">
        <w:rPr>
          <w:rFonts w:ascii="Direct Sans" w:eastAsiaTheme="minorHAnsi" w:hAnsi="Direct Sans"/>
          <w:color w:val="000000" w:themeColor="text1"/>
          <w:sz w:val="24"/>
          <w:szCs w:val="22"/>
          <w:lang w:eastAsia="en-US"/>
          <w14:ligatures w14:val="standardContextual"/>
        </w:rPr>
        <w:t xml:space="preserve"> oproti předchozímu roku.</w:t>
      </w:r>
    </w:p>
    <w:p w14:paraId="537E9304" w14:textId="193D72BC" w:rsidR="00CC2C1D" w:rsidRDefault="00ED50FE" w:rsidP="00CC2C1D">
      <w:pPr>
        <w:rPr>
          <w:rFonts w:ascii="Arial" w:eastAsia="Arial" w:hAnsi="Arial" w:cs="Arial"/>
          <w:b/>
          <w:bCs/>
          <w:color w:val="12233F"/>
          <w:sz w:val="18"/>
          <w:szCs w:val="18"/>
        </w:rPr>
      </w:pPr>
      <w:r>
        <w:rPr>
          <w:rFonts w:ascii="Arial" w:eastAsia="Arial" w:hAnsi="Arial" w:cs="Arial"/>
          <w:b/>
          <w:bCs/>
          <w:noProof/>
          <w:color w:val="12233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747F9" wp14:editId="10C618E1">
                <wp:simplePos x="0" y="0"/>
                <wp:positionH relativeFrom="column">
                  <wp:posOffset>-99060</wp:posOffset>
                </wp:positionH>
                <wp:positionV relativeFrom="paragraph">
                  <wp:posOffset>100330</wp:posOffset>
                </wp:positionV>
                <wp:extent cx="6320790" cy="1611630"/>
                <wp:effectExtent l="12700" t="12700" r="16510" b="13970"/>
                <wp:wrapNone/>
                <wp:docPr id="17616051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0790" cy="16116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7DF92" id="Obdélník 1" o:spid="_x0000_s1026" style="position:absolute;margin-left:-7.8pt;margin-top:7.9pt;width:497.7pt;height:1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" filled="f" strokecolor="#4ea72e [3209]" strokeweight="1.5pt"/>
            </w:pict>
          </mc:Fallback>
        </mc:AlternateContent>
      </w:r>
    </w:p>
    <w:p w14:paraId="3CBD8F9E" w14:textId="7C513C2D" w:rsidR="00811555" w:rsidRPr="004852B2" w:rsidRDefault="00234426" w:rsidP="004852B2">
      <w:pPr>
        <w:jc w:val="both"/>
        <w:rPr>
          <w:rFonts w:ascii="Direct Sans Semibold" w:eastAsiaTheme="minorHAnsi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</w:pPr>
      <w:r w:rsidRPr="004852B2">
        <w:rPr>
          <w:rFonts w:ascii="Direct Sans Semibold" w:eastAsiaTheme="minorHAnsi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  <w:t>Metodika</w:t>
      </w:r>
    </w:p>
    <w:p w14:paraId="3CBD8F9F" w14:textId="77777777" w:rsidR="00811555" w:rsidRPr="00721D9C" w:rsidRDefault="00234426" w:rsidP="509B5218">
      <w:pPr>
        <w:spacing w:after="60"/>
        <w:rPr>
          <w:rFonts w:ascii="Direct Sans" w:eastAsiaTheme="minorEastAsia" w:hAnsi="Direct Sans"/>
          <w:i/>
          <w:iCs/>
          <w:color w:val="000000" w:themeColor="text1"/>
          <w:lang w:eastAsia="en-US"/>
          <w14:ligatures w14:val="standardContextual"/>
        </w:rPr>
      </w:pPr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  <w14:ligatures w14:val="standardContextual"/>
        </w:rPr>
        <w:t xml:space="preserve">Analýza vychází z anonymizovaných, agregovaných dat kartových transakcí přibližně 1 500 firemních klientů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Fidoo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 u sedmi AI poskytovatelů (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OpenAI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,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Anthropic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, Microsoft AI, GitHub,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Cursor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, Google AI,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Perplexity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) za období leden 2023 až červen 2026; výdaje společností skupiny Direct jsou vyloučeny.</w:t>
      </w:r>
    </w:p>
    <w:p w14:paraId="3CBD8FA0" w14:textId="77777777" w:rsidR="00811555" w:rsidRDefault="00234426" w:rsidP="509B5218">
      <w:pPr>
        <w:rPr>
          <w:rFonts w:ascii="Direct Sans" w:eastAsiaTheme="minorEastAsia" w:hAnsi="Direct Sans"/>
          <w:i/>
          <w:iCs/>
          <w:color w:val="000000" w:themeColor="text1"/>
          <w:lang w:eastAsia="en-US"/>
        </w:rPr>
      </w:pPr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  <w14:ligatures w14:val="standardContextual"/>
        </w:rPr>
        <w:t xml:space="preserve">Odhad velikosti českého trhu vychází z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bottom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-up extrapolace vzorku na cca 45 tisíc firem s deseti a více zaměstnanci (registr ekonomických subjektů ČSÚ), s korekcí na výběrové vychýlení vzorku a na AI platby probíhající mimo kartu. Výsledek je křížově ověřen nezávislou metodou (adopce × průměrná útrata) a porovnán s daty ČSÚ, BCG a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Menlo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Ventures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. Odhad nezahrnuje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mikrofirmy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, OSVČ, přímé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enterprise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 kontrakty ani cloudové AI služby velkých podniků – celkový český AI </w:t>
      </w:r>
      <w:proofErr w:type="spellStart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>spend</w:t>
      </w:r>
      <w:proofErr w:type="spellEnd"/>
      <w:r w:rsidRPr="509B5218">
        <w:rPr>
          <w:rFonts w:ascii="Direct Sans" w:eastAsiaTheme="minorEastAsia" w:hAnsi="Direct Sans"/>
          <w:i/>
          <w:iCs/>
          <w:color w:val="000000" w:themeColor="text1"/>
          <w:lang w:eastAsia="en-US"/>
        </w:rPr>
        <w:t xml:space="preserve"> tak bude vyšší.</w:t>
      </w:r>
    </w:p>
    <w:p w14:paraId="7C97EAA7" w14:textId="77777777" w:rsidR="008136C4" w:rsidRDefault="008136C4" w:rsidP="509B5218">
      <w:pPr>
        <w:rPr>
          <w:rFonts w:ascii="Direct Sans" w:eastAsiaTheme="minorEastAsia" w:hAnsi="Direct Sans"/>
          <w:i/>
          <w:iCs/>
          <w:color w:val="000000" w:themeColor="text1"/>
          <w:lang w:eastAsia="en-US"/>
        </w:rPr>
      </w:pPr>
    </w:p>
    <w:p w14:paraId="1D92A3FB" w14:textId="77777777" w:rsidR="00ED50FE" w:rsidRDefault="00ED50FE" w:rsidP="00ED50FE">
      <w:pPr>
        <w:jc w:val="both"/>
        <w:rPr>
          <w:rFonts w:ascii="Arial" w:hAnsi="Arial" w:cs="Arial"/>
          <w:b/>
          <w:bCs/>
          <w:color w:val="AAD802"/>
        </w:rPr>
      </w:pPr>
    </w:p>
    <w:p w14:paraId="1DA9A063" w14:textId="77777777" w:rsidR="00ED50FE" w:rsidRPr="006A4D83" w:rsidRDefault="00ED50FE" w:rsidP="00ED50FE">
      <w:pPr>
        <w:jc w:val="both"/>
        <w:rPr>
          <w:rFonts w:ascii="Direct Sans Semibold" w:hAnsi="Direct Sans Semibold" w:cs="Times New Roman (Z__kladn__ tex"/>
          <w:b/>
          <w:bCs/>
          <w:color w:val="004033"/>
        </w:rPr>
      </w:pPr>
      <w:r w:rsidRPr="006A4D83">
        <w:rPr>
          <w:rFonts w:ascii="Direct Sans Semibold" w:hAnsi="Direct Sans Semibold" w:cs="Times New Roman (Z__kladn__ tex"/>
          <w:b/>
          <w:bCs/>
          <w:color w:val="004033"/>
        </w:rPr>
        <w:t xml:space="preserve">O společnosti Direct </w:t>
      </w:r>
      <w:proofErr w:type="spellStart"/>
      <w:r w:rsidRPr="006A4D83">
        <w:rPr>
          <w:rFonts w:ascii="Direct Sans Semibold" w:hAnsi="Direct Sans Semibold" w:cs="Times New Roman (Z__kladn__ tex"/>
          <w:b/>
          <w:bCs/>
          <w:color w:val="004033"/>
        </w:rPr>
        <w:t>Fidoo</w:t>
      </w:r>
      <w:proofErr w:type="spellEnd"/>
      <w:r w:rsidRPr="006A4D83">
        <w:rPr>
          <w:rFonts w:ascii="Direct Sans Semibold" w:hAnsi="Direct Sans Semibold" w:cs="Times New Roman (Z__kladn__ tex"/>
          <w:b/>
          <w:bCs/>
          <w:color w:val="004033"/>
        </w:rPr>
        <w:t>:</w:t>
      </w:r>
    </w:p>
    <w:p w14:paraId="0F7AC564" w14:textId="77777777" w:rsidR="00ED50FE" w:rsidRPr="00FF06CF" w:rsidRDefault="00ED50FE" w:rsidP="00ED50FE">
      <w:pPr>
        <w:shd w:val="clear" w:color="auto" w:fill="FFFFFF" w:themeFill="background1"/>
        <w:jc w:val="both"/>
        <w:rPr>
          <w:rFonts w:ascii="Arial" w:eastAsia="Arial" w:hAnsi="Arial" w:cs="Arial"/>
          <w:color w:val="333333"/>
        </w:rPr>
      </w:pPr>
      <w:hyperlink r:id="rId12" w:history="1">
        <w:r w:rsidRPr="00FF06CF">
          <w:rPr>
            <w:rStyle w:val="Hypertextovodkaz"/>
            <w:rFonts w:ascii="Arial" w:eastAsia="Arial" w:hAnsi="Arial" w:cs="Arial"/>
          </w:rPr>
          <w:t xml:space="preserve">Direct </w:t>
        </w:r>
        <w:proofErr w:type="spellStart"/>
        <w:r w:rsidRPr="00FF06CF">
          <w:rPr>
            <w:rStyle w:val="Hypertextovodkaz"/>
            <w:rFonts w:ascii="Arial" w:eastAsia="Arial" w:hAnsi="Arial" w:cs="Arial"/>
          </w:rPr>
          <w:t>Fidoo</w:t>
        </w:r>
        <w:proofErr w:type="spellEnd"/>
      </w:hyperlink>
      <w:r w:rsidRPr="00FF06CF">
        <w:rPr>
          <w:rFonts w:ascii="Arial" w:eastAsia="Arial" w:hAnsi="Arial" w:cs="Arial"/>
          <w:color w:val="333333"/>
        </w:rPr>
        <w:t xml:space="preserve"> je český fintech, který firmám ulehčuje komplikovanou agendu týkající se správy financí. </w:t>
      </w:r>
    </w:p>
    <w:p w14:paraId="73F3557B" w14:textId="77777777" w:rsidR="00ED50FE" w:rsidRPr="00FF06CF" w:rsidRDefault="00ED50FE" w:rsidP="00ED50FE">
      <w:pPr>
        <w:shd w:val="clear" w:color="auto" w:fill="FFFFFF" w:themeFill="background1"/>
        <w:jc w:val="both"/>
        <w:rPr>
          <w:rFonts w:ascii="Arial" w:eastAsia="Arial" w:hAnsi="Arial" w:cs="Arial"/>
          <w:color w:val="333333"/>
        </w:rPr>
      </w:pPr>
      <w:r w:rsidRPr="00FF06CF">
        <w:rPr>
          <w:rFonts w:ascii="Arial" w:eastAsia="Arial" w:hAnsi="Arial" w:cs="Arial"/>
          <w:color w:val="333333"/>
        </w:rPr>
        <w:t xml:space="preserve">Se svým prvním produktem zjednodušuje interní procesy spojené s provozními výdaji (od distribuce peněz mezi zaměstnance, digitalizace účtenek, cestovních příkazů po vyúčtování). Kromě toho nabízí i online platformu pro směnu měn a zahraniční platby, se kterou přináší českým SME firmám skutečně transparentní a férové podmínky. Jakožto držitel licence ČNB a vydavatel karet Mastercard je Direct </w:t>
      </w:r>
      <w:proofErr w:type="spellStart"/>
      <w:r w:rsidRPr="00FF06CF">
        <w:rPr>
          <w:rFonts w:ascii="Arial" w:eastAsia="Arial" w:hAnsi="Arial" w:cs="Arial"/>
          <w:color w:val="333333"/>
        </w:rPr>
        <w:t>Fidoo</w:t>
      </w:r>
      <w:proofErr w:type="spellEnd"/>
      <w:r w:rsidRPr="00FF06CF">
        <w:rPr>
          <w:rFonts w:ascii="Arial" w:eastAsia="Arial" w:hAnsi="Arial" w:cs="Arial"/>
          <w:color w:val="333333"/>
        </w:rPr>
        <w:t xml:space="preserve"> renomovaným a stabilním partnerem. Direct </w:t>
      </w:r>
      <w:proofErr w:type="spellStart"/>
      <w:r w:rsidRPr="00FF06CF">
        <w:rPr>
          <w:rFonts w:ascii="Arial" w:eastAsia="Arial" w:hAnsi="Arial" w:cs="Arial"/>
          <w:color w:val="333333"/>
        </w:rPr>
        <w:t>Fidoo</w:t>
      </w:r>
      <w:proofErr w:type="spellEnd"/>
      <w:r w:rsidRPr="00FF06CF">
        <w:rPr>
          <w:rFonts w:ascii="Arial" w:eastAsia="Arial" w:hAnsi="Arial" w:cs="Arial"/>
          <w:color w:val="333333"/>
        </w:rPr>
        <w:t xml:space="preserve"> je členem skupiny Direct Group, kde společně s Direct pojišťovnou, Direct auto, Direct </w:t>
      </w:r>
      <w:proofErr w:type="spellStart"/>
      <w:r w:rsidRPr="00FF06CF">
        <w:rPr>
          <w:rFonts w:ascii="Arial" w:eastAsia="Arial" w:hAnsi="Arial" w:cs="Arial"/>
          <w:color w:val="333333"/>
        </w:rPr>
        <w:t>technologies</w:t>
      </w:r>
      <w:proofErr w:type="spellEnd"/>
      <w:r w:rsidRPr="00FF06CF">
        <w:rPr>
          <w:rFonts w:ascii="Arial" w:eastAsia="Arial" w:hAnsi="Arial" w:cs="Arial"/>
          <w:color w:val="333333"/>
        </w:rPr>
        <w:t xml:space="preserve">, Direct nadací a Direct </w:t>
      </w:r>
      <w:proofErr w:type="spellStart"/>
      <w:r w:rsidRPr="00FF06CF">
        <w:rPr>
          <w:rFonts w:ascii="Arial" w:eastAsia="Arial" w:hAnsi="Arial" w:cs="Arial"/>
          <w:color w:val="333333"/>
        </w:rPr>
        <w:t>Fondee</w:t>
      </w:r>
      <w:proofErr w:type="spellEnd"/>
      <w:r w:rsidRPr="00FF06CF">
        <w:rPr>
          <w:rFonts w:ascii="Arial" w:eastAsia="Arial" w:hAnsi="Arial" w:cs="Arial"/>
          <w:color w:val="333333"/>
        </w:rPr>
        <w:t xml:space="preserve"> přináší lehkost do oborů, které nefungují tak, jak by měly.</w:t>
      </w:r>
    </w:p>
    <w:p w14:paraId="59234CD0" w14:textId="77777777" w:rsidR="00ED50FE" w:rsidRDefault="00ED50FE" w:rsidP="00ED50FE">
      <w:pPr>
        <w:jc w:val="both"/>
        <w:rPr>
          <w:rFonts w:ascii="Arial" w:hAnsi="Arial" w:cs="Arial"/>
          <w:color w:val="1D1C1D"/>
          <w:sz w:val="22"/>
          <w:szCs w:val="22"/>
        </w:rPr>
      </w:pPr>
    </w:p>
    <w:p w14:paraId="3A46AE71" w14:textId="77777777" w:rsidR="00ED50FE" w:rsidRPr="006A4D83" w:rsidRDefault="00ED50FE" w:rsidP="00ED50FE">
      <w:pPr>
        <w:jc w:val="both"/>
        <w:rPr>
          <w:rFonts w:ascii="Direct Sans Semibold" w:hAnsi="Direct Sans Semibold" w:cs="Times New Roman (Z__kladn__ tex"/>
          <w:b/>
          <w:bCs/>
          <w:color w:val="004033"/>
        </w:rPr>
      </w:pPr>
      <w:r w:rsidRPr="006A4D83">
        <w:rPr>
          <w:rFonts w:ascii="Direct Sans Semibold" w:hAnsi="Direct Sans Semibold" w:cs="Times New Roman (Z__kladn__ tex"/>
          <w:b/>
          <w:bCs/>
          <w:color w:val="004033"/>
        </w:rPr>
        <w:t>Kontakt:</w:t>
      </w:r>
    </w:p>
    <w:p w14:paraId="449EE796" w14:textId="77777777" w:rsidR="00ED50FE" w:rsidRPr="00FF06CF" w:rsidRDefault="00ED50FE" w:rsidP="00ED50FE">
      <w:pPr>
        <w:jc w:val="both"/>
        <w:rPr>
          <w:rFonts w:ascii="Arial" w:eastAsia="Arial" w:hAnsi="Arial" w:cs="Arial"/>
        </w:rPr>
      </w:pPr>
      <w:r w:rsidRPr="00FF06CF">
        <w:rPr>
          <w:rStyle w:val="eop"/>
          <w:rFonts w:ascii="Arial" w:eastAsia="Arial" w:hAnsi="Arial" w:cs="Arial"/>
          <w:b/>
          <w:bCs/>
        </w:rPr>
        <w:t xml:space="preserve">Za Direct </w:t>
      </w:r>
      <w:proofErr w:type="spellStart"/>
      <w:r w:rsidRPr="00FF06CF">
        <w:rPr>
          <w:rStyle w:val="eop"/>
          <w:rFonts w:ascii="Arial" w:eastAsia="Arial" w:hAnsi="Arial" w:cs="Arial"/>
          <w:b/>
          <w:bCs/>
        </w:rPr>
        <w:t>Fidoo</w:t>
      </w:r>
      <w:proofErr w:type="spellEnd"/>
    </w:p>
    <w:p w14:paraId="1F274AB9" w14:textId="77777777" w:rsidR="00ED50FE" w:rsidRPr="00FF06CF" w:rsidRDefault="00ED50FE" w:rsidP="00ED50FE">
      <w:pPr>
        <w:jc w:val="both"/>
        <w:rPr>
          <w:rFonts w:ascii="Arial" w:eastAsia="Arial" w:hAnsi="Arial" w:cs="Arial"/>
        </w:rPr>
      </w:pPr>
      <w:r>
        <w:rPr>
          <w:rStyle w:val="normaltextrun"/>
          <w:rFonts w:ascii="Arial" w:eastAsia="Arial" w:hAnsi="Arial" w:cs="Arial"/>
        </w:rPr>
        <w:t>Edita Schejbalová</w:t>
      </w:r>
    </w:p>
    <w:p w14:paraId="416A5DE5" w14:textId="77777777" w:rsidR="00ED50FE" w:rsidRDefault="00ED50FE" w:rsidP="00ED50FE">
      <w:pPr>
        <w:jc w:val="both"/>
        <w:rPr>
          <w:rStyle w:val="normaltextrun"/>
          <w:rFonts w:ascii="Arial" w:eastAsia="Arial" w:hAnsi="Arial" w:cs="Arial"/>
        </w:rPr>
      </w:pPr>
      <w:r w:rsidRPr="00FF06CF">
        <w:rPr>
          <w:rStyle w:val="normaltextrun"/>
          <w:rFonts w:ascii="Arial" w:eastAsia="Arial" w:hAnsi="Arial" w:cs="Arial"/>
        </w:rPr>
        <w:t>PR agentura FYI Prague </w:t>
      </w:r>
    </w:p>
    <w:p w14:paraId="28A0E6FF" w14:textId="77777777" w:rsidR="00ED50FE" w:rsidRDefault="00ED50FE" w:rsidP="00ED50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+420 607 860 680</w:t>
      </w:r>
    </w:p>
    <w:p w14:paraId="3FCA7F15" w14:textId="77777777" w:rsidR="00ED50FE" w:rsidRDefault="00ED50FE" w:rsidP="00ED50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edita.schejbalova@fyi.cz </w:t>
      </w:r>
    </w:p>
    <w:p w14:paraId="567A162E" w14:textId="77777777" w:rsidR="00ED50FE" w:rsidRPr="00FF06CF" w:rsidRDefault="00ED50FE" w:rsidP="00ED50FE">
      <w:pPr>
        <w:jc w:val="both"/>
        <w:rPr>
          <w:rFonts w:ascii="Arial" w:eastAsia="Arial" w:hAnsi="Arial" w:cs="Arial"/>
        </w:rPr>
      </w:pPr>
    </w:p>
    <w:p w14:paraId="2FBFAF9B" w14:textId="3839D44F" w:rsidR="008136C4" w:rsidRPr="008136C4" w:rsidRDefault="008136C4" w:rsidP="008136C4">
      <w:pPr>
        <w:jc w:val="both"/>
        <w:rPr>
          <w:rFonts w:ascii="Direct Sans Semibold" w:eastAsiaTheme="minorHAnsi" w:hAnsi="Direct Sans Semibold" w:cs="Times New Roman (Z__kladn__ tex"/>
          <w:b/>
          <w:bCs/>
          <w:color w:val="004033"/>
          <w:kern w:val="2"/>
          <w:sz w:val="24"/>
          <w:szCs w:val="24"/>
          <w:lang w:eastAsia="en-US"/>
          <w14:ligatures w14:val="standardContextual"/>
        </w:rPr>
      </w:pPr>
    </w:p>
    <w:sectPr w:rsidR="008136C4" w:rsidRPr="008136C4">
      <w:footerReference w:type="default" r:id="rId13"/>
      <w:pgSz w:w="11906" w:h="16838"/>
      <w:pgMar w:top="1000" w:right="1200" w:bottom="100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6076" w14:textId="77777777" w:rsidR="0082176B" w:rsidRDefault="0082176B" w:rsidP="00C823CA">
      <w:r>
        <w:separator/>
      </w:r>
    </w:p>
  </w:endnote>
  <w:endnote w:type="continuationSeparator" w:id="0">
    <w:p w14:paraId="4A74F7CE" w14:textId="77777777" w:rsidR="0082176B" w:rsidRDefault="0082176B" w:rsidP="00C8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rect Sans Semibold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Z__kladn__ tex">
    <w:panose1 w:val="020B0604020202020204"/>
    <w:charset w:val="00"/>
    <w:family w:val="roman"/>
    <w:notTrueType/>
    <w:pitch w:val="default"/>
  </w:font>
  <w:font w:name="Direct Sans Medium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_______2">
    <w:altName w:val="Calibri"/>
    <w:panose1 w:val="020B0604020202020204"/>
    <w:charset w:val="00"/>
    <w:family w:val="auto"/>
    <w:notTrueType/>
    <w:pitch w:val="default"/>
  </w:font>
  <w:font w:name="Direct Sans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B809" w14:textId="77777777" w:rsidR="00C823CA" w:rsidRDefault="00C823CA" w:rsidP="00C904C1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16B8" w14:textId="77777777" w:rsidR="0082176B" w:rsidRDefault="0082176B" w:rsidP="00C823CA">
      <w:r>
        <w:separator/>
      </w:r>
    </w:p>
  </w:footnote>
  <w:footnote w:type="continuationSeparator" w:id="0">
    <w:p w14:paraId="041AA71D" w14:textId="77777777" w:rsidR="0082176B" w:rsidRDefault="0082176B" w:rsidP="00C82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61719"/>
    <w:multiLevelType w:val="hybridMultilevel"/>
    <w:tmpl w:val="91722772"/>
    <w:lvl w:ilvl="0" w:tplc="9850C532">
      <w:start w:val="1"/>
      <w:numFmt w:val="bullet"/>
      <w:lvlText w:val="●"/>
      <w:lvlJc w:val="left"/>
      <w:pPr>
        <w:ind w:left="720" w:hanging="360"/>
      </w:pPr>
    </w:lvl>
    <w:lvl w:ilvl="1" w:tplc="B31A675C">
      <w:start w:val="1"/>
      <w:numFmt w:val="bullet"/>
      <w:lvlText w:val="○"/>
      <w:lvlJc w:val="left"/>
      <w:pPr>
        <w:ind w:left="1440" w:hanging="360"/>
      </w:pPr>
    </w:lvl>
    <w:lvl w:ilvl="2" w:tplc="9476F3F6">
      <w:start w:val="1"/>
      <w:numFmt w:val="bullet"/>
      <w:lvlText w:val="■"/>
      <w:lvlJc w:val="left"/>
      <w:pPr>
        <w:ind w:left="2160" w:hanging="360"/>
      </w:pPr>
    </w:lvl>
    <w:lvl w:ilvl="3" w:tplc="E33E5DCE">
      <w:start w:val="1"/>
      <w:numFmt w:val="bullet"/>
      <w:lvlText w:val="●"/>
      <w:lvlJc w:val="left"/>
      <w:pPr>
        <w:ind w:left="2880" w:hanging="360"/>
      </w:pPr>
    </w:lvl>
    <w:lvl w:ilvl="4" w:tplc="2F9A954C">
      <w:start w:val="1"/>
      <w:numFmt w:val="bullet"/>
      <w:lvlText w:val="○"/>
      <w:lvlJc w:val="left"/>
      <w:pPr>
        <w:ind w:left="3600" w:hanging="360"/>
      </w:pPr>
    </w:lvl>
    <w:lvl w:ilvl="5" w:tplc="1C042C16">
      <w:start w:val="1"/>
      <w:numFmt w:val="bullet"/>
      <w:lvlText w:val="■"/>
      <w:lvlJc w:val="left"/>
      <w:pPr>
        <w:ind w:left="4320" w:hanging="360"/>
      </w:pPr>
    </w:lvl>
    <w:lvl w:ilvl="6" w:tplc="B79456AC">
      <w:start w:val="1"/>
      <w:numFmt w:val="bullet"/>
      <w:lvlText w:val="●"/>
      <w:lvlJc w:val="left"/>
      <w:pPr>
        <w:ind w:left="5040" w:hanging="360"/>
      </w:pPr>
    </w:lvl>
    <w:lvl w:ilvl="7" w:tplc="9DDED960">
      <w:start w:val="1"/>
      <w:numFmt w:val="bullet"/>
      <w:lvlText w:val="●"/>
      <w:lvlJc w:val="left"/>
      <w:pPr>
        <w:ind w:left="5760" w:hanging="360"/>
      </w:pPr>
    </w:lvl>
    <w:lvl w:ilvl="8" w:tplc="F350E02A">
      <w:start w:val="1"/>
      <w:numFmt w:val="bullet"/>
      <w:lvlText w:val="●"/>
      <w:lvlJc w:val="left"/>
      <w:pPr>
        <w:ind w:left="6480" w:hanging="360"/>
      </w:pPr>
    </w:lvl>
  </w:abstractNum>
  <w:num w:numId="1" w16cid:durableId="12967632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555"/>
    <w:rsid w:val="00014CF8"/>
    <w:rsid w:val="00035153"/>
    <w:rsid w:val="000378AE"/>
    <w:rsid w:val="0004160F"/>
    <w:rsid w:val="000B7262"/>
    <w:rsid w:val="000C4C5F"/>
    <w:rsid w:val="000E7A74"/>
    <w:rsid w:val="00132BEB"/>
    <w:rsid w:val="0014137B"/>
    <w:rsid w:val="0014219D"/>
    <w:rsid w:val="0014291C"/>
    <w:rsid w:val="001429DD"/>
    <w:rsid w:val="0015619C"/>
    <w:rsid w:val="00183F08"/>
    <w:rsid w:val="001C019A"/>
    <w:rsid w:val="001C4CDC"/>
    <w:rsid w:val="001C4EB1"/>
    <w:rsid w:val="001D730D"/>
    <w:rsid w:val="001D79BE"/>
    <w:rsid w:val="001E19AE"/>
    <w:rsid w:val="001E3BCF"/>
    <w:rsid w:val="001E3EAF"/>
    <w:rsid w:val="00207C4E"/>
    <w:rsid w:val="00212285"/>
    <w:rsid w:val="00217C59"/>
    <w:rsid w:val="00234426"/>
    <w:rsid w:val="002366E5"/>
    <w:rsid w:val="00261878"/>
    <w:rsid w:val="002862AA"/>
    <w:rsid w:val="0029465D"/>
    <w:rsid w:val="00295E6C"/>
    <w:rsid w:val="003017B7"/>
    <w:rsid w:val="00316D1A"/>
    <w:rsid w:val="003449CA"/>
    <w:rsid w:val="00372E21"/>
    <w:rsid w:val="003942F1"/>
    <w:rsid w:val="003943A4"/>
    <w:rsid w:val="003C3B9D"/>
    <w:rsid w:val="003D4F44"/>
    <w:rsid w:val="003FFD36"/>
    <w:rsid w:val="00414161"/>
    <w:rsid w:val="0044366E"/>
    <w:rsid w:val="00457457"/>
    <w:rsid w:val="00473FC7"/>
    <w:rsid w:val="004852B2"/>
    <w:rsid w:val="004A67CC"/>
    <w:rsid w:val="004C4BF5"/>
    <w:rsid w:val="004C63C6"/>
    <w:rsid w:val="004D1AF8"/>
    <w:rsid w:val="004E06CA"/>
    <w:rsid w:val="004E2395"/>
    <w:rsid w:val="004E4BA8"/>
    <w:rsid w:val="005049CD"/>
    <w:rsid w:val="005249CF"/>
    <w:rsid w:val="005254D7"/>
    <w:rsid w:val="00527186"/>
    <w:rsid w:val="005358F1"/>
    <w:rsid w:val="005538C8"/>
    <w:rsid w:val="0058451D"/>
    <w:rsid w:val="005A49AD"/>
    <w:rsid w:val="005B0252"/>
    <w:rsid w:val="005B0A01"/>
    <w:rsid w:val="005B5C61"/>
    <w:rsid w:val="005D1B0A"/>
    <w:rsid w:val="005F4120"/>
    <w:rsid w:val="00610488"/>
    <w:rsid w:val="006270E2"/>
    <w:rsid w:val="00663BA2"/>
    <w:rsid w:val="006642AF"/>
    <w:rsid w:val="00683AF8"/>
    <w:rsid w:val="006A3187"/>
    <w:rsid w:val="006A64A3"/>
    <w:rsid w:val="006F5389"/>
    <w:rsid w:val="007060CE"/>
    <w:rsid w:val="00707AAF"/>
    <w:rsid w:val="00721D9C"/>
    <w:rsid w:val="00734702"/>
    <w:rsid w:val="00756B08"/>
    <w:rsid w:val="00772E2C"/>
    <w:rsid w:val="007C34AB"/>
    <w:rsid w:val="007E1459"/>
    <w:rsid w:val="007E2500"/>
    <w:rsid w:val="007F0E2E"/>
    <w:rsid w:val="00806BBA"/>
    <w:rsid w:val="00811555"/>
    <w:rsid w:val="008136C4"/>
    <w:rsid w:val="0082176B"/>
    <w:rsid w:val="00822672"/>
    <w:rsid w:val="008471A7"/>
    <w:rsid w:val="00854527"/>
    <w:rsid w:val="00856BB0"/>
    <w:rsid w:val="008629C5"/>
    <w:rsid w:val="00867984"/>
    <w:rsid w:val="00884F51"/>
    <w:rsid w:val="008C3FA8"/>
    <w:rsid w:val="008E3D78"/>
    <w:rsid w:val="009010C3"/>
    <w:rsid w:val="00903953"/>
    <w:rsid w:val="009323E2"/>
    <w:rsid w:val="009669F3"/>
    <w:rsid w:val="0096AAF2"/>
    <w:rsid w:val="009966CF"/>
    <w:rsid w:val="009A1BFA"/>
    <w:rsid w:val="009A2779"/>
    <w:rsid w:val="009B0C95"/>
    <w:rsid w:val="009B7388"/>
    <w:rsid w:val="009D69BC"/>
    <w:rsid w:val="009E4620"/>
    <w:rsid w:val="009F0ABE"/>
    <w:rsid w:val="009F4010"/>
    <w:rsid w:val="00A06BD1"/>
    <w:rsid w:val="00A2501F"/>
    <w:rsid w:val="00A3028E"/>
    <w:rsid w:val="00A435DE"/>
    <w:rsid w:val="00A47691"/>
    <w:rsid w:val="00A61392"/>
    <w:rsid w:val="00AC1479"/>
    <w:rsid w:val="00AF2707"/>
    <w:rsid w:val="00AF44D9"/>
    <w:rsid w:val="00B342DF"/>
    <w:rsid w:val="00B53BD9"/>
    <w:rsid w:val="00B6067D"/>
    <w:rsid w:val="00B86C24"/>
    <w:rsid w:val="00B95D67"/>
    <w:rsid w:val="00BA7302"/>
    <w:rsid w:val="00BB6A2D"/>
    <w:rsid w:val="00BD4B10"/>
    <w:rsid w:val="00C05549"/>
    <w:rsid w:val="00C43589"/>
    <w:rsid w:val="00C818FA"/>
    <w:rsid w:val="00C823CA"/>
    <w:rsid w:val="00C904C1"/>
    <w:rsid w:val="00CA023D"/>
    <w:rsid w:val="00CB5A08"/>
    <w:rsid w:val="00CC1299"/>
    <w:rsid w:val="00CC2C1D"/>
    <w:rsid w:val="00CD7718"/>
    <w:rsid w:val="00CE38C1"/>
    <w:rsid w:val="00D01F1F"/>
    <w:rsid w:val="00D355B8"/>
    <w:rsid w:val="00D460BB"/>
    <w:rsid w:val="00D509F7"/>
    <w:rsid w:val="00D62B2D"/>
    <w:rsid w:val="00D72614"/>
    <w:rsid w:val="00DD4DA1"/>
    <w:rsid w:val="00E162B2"/>
    <w:rsid w:val="00E444A9"/>
    <w:rsid w:val="00E8033E"/>
    <w:rsid w:val="00E82A58"/>
    <w:rsid w:val="00EA068B"/>
    <w:rsid w:val="00EA60F7"/>
    <w:rsid w:val="00EA7F51"/>
    <w:rsid w:val="00ED0637"/>
    <w:rsid w:val="00ED50FE"/>
    <w:rsid w:val="00EE026C"/>
    <w:rsid w:val="00EE4463"/>
    <w:rsid w:val="00EE572A"/>
    <w:rsid w:val="00F06985"/>
    <w:rsid w:val="00F27935"/>
    <w:rsid w:val="00F41F88"/>
    <w:rsid w:val="00F842F4"/>
    <w:rsid w:val="00F864AF"/>
    <w:rsid w:val="00FB5E65"/>
    <w:rsid w:val="00FC6C9B"/>
    <w:rsid w:val="059EDCDA"/>
    <w:rsid w:val="05AB63EB"/>
    <w:rsid w:val="0708B1A6"/>
    <w:rsid w:val="07F3EDEC"/>
    <w:rsid w:val="0A37F507"/>
    <w:rsid w:val="0BC9A2BB"/>
    <w:rsid w:val="0D0D7F7F"/>
    <w:rsid w:val="0E70FD7E"/>
    <w:rsid w:val="1351D299"/>
    <w:rsid w:val="148DD63D"/>
    <w:rsid w:val="151E2F57"/>
    <w:rsid w:val="15AF75DB"/>
    <w:rsid w:val="17764629"/>
    <w:rsid w:val="1A178EB1"/>
    <w:rsid w:val="1A243873"/>
    <w:rsid w:val="1EE48FC0"/>
    <w:rsid w:val="1FA5021A"/>
    <w:rsid w:val="1FC5AECD"/>
    <w:rsid w:val="216E77B4"/>
    <w:rsid w:val="21F6C76E"/>
    <w:rsid w:val="23617BFF"/>
    <w:rsid w:val="23660BBD"/>
    <w:rsid w:val="243F43F2"/>
    <w:rsid w:val="29842D38"/>
    <w:rsid w:val="2B27488E"/>
    <w:rsid w:val="2BF93AF1"/>
    <w:rsid w:val="2D5EFC2B"/>
    <w:rsid w:val="2EC3A279"/>
    <w:rsid w:val="34A411DC"/>
    <w:rsid w:val="35A981D0"/>
    <w:rsid w:val="381BFA64"/>
    <w:rsid w:val="3A42C93E"/>
    <w:rsid w:val="3AA08406"/>
    <w:rsid w:val="3AAC2A1D"/>
    <w:rsid w:val="3D2E2E53"/>
    <w:rsid w:val="3D332B57"/>
    <w:rsid w:val="40830F23"/>
    <w:rsid w:val="42908948"/>
    <w:rsid w:val="42FE55AC"/>
    <w:rsid w:val="45490709"/>
    <w:rsid w:val="4572B8A2"/>
    <w:rsid w:val="457B111B"/>
    <w:rsid w:val="45BDD290"/>
    <w:rsid w:val="485E853B"/>
    <w:rsid w:val="4959DB76"/>
    <w:rsid w:val="495A8635"/>
    <w:rsid w:val="49B1463B"/>
    <w:rsid w:val="4A90007A"/>
    <w:rsid w:val="4D37837D"/>
    <w:rsid w:val="4D3E4ACF"/>
    <w:rsid w:val="4D553100"/>
    <w:rsid w:val="4F8E2342"/>
    <w:rsid w:val="507AC392"/>
    <w:rsid w:val="509B5218"/>
    <w:rsid w:val="52F30993"/>
    <w:rsid w:val="540E4C59"/>
    <w:rsid w:val="5429C940"/>
    <w:rsid w:val="55677C13"/>
    <w:rsid w:val="562D4786"/>
    <w:rsid w:val="5B2CE990"/>
    <w:rsid w:val="5C45C9DB"/>
    <w:rsid w:val="6001DD95"/>
    <w:rsid w:val="64AEC1C8"/>
    <w:rsid w:val="671E9CC8"/>
    <w:rsid w:val="680D5412"/>
    <w:rsid w:val="686FBC10"/>
    <w:rsid w:val="6939C2BA"/>
    <w:rsid w:val="6A5AF127"/>
    <w:rsid w:val="6E503F36"/>
    <w:rsid w:val="6E9DAE73"/>
    <w:rsid w:val="74605666"/>
    <w:rsid w:val="7545FD5D"/>
    <w:rsid w:val="79E5F69B"/>
    <w:rsid w:val="7B3A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8F82"/>
  <w15:docId w15:val="{1813E88F-45DD-4C89-BAB3-411C9D23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customStyle="1" w:styleId="pdq2pgselectionanchorcontainer">
    <w:name w:val="pdq2pg_selectionanchorcontainer"/>
    <w:basedOn w:val="Normln"/>
    <w:rsid w:val="001C4EB1"/>
    <w:pPr>
      <w:spacing w:before="100" w:beforeAutospacing="1" w:after="100" w:afterAutospacing="1"/>
    </w:pPr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1C4EB1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8C3FA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823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23CA"/>
  </w:style>
  <w:style w:type="paragraph" w:styleId="Zpat">
    <w:name w:val="footer"/>
    <w:basedOn w:val="Normln"/>
    <w:link w:val="ZpatChar"/>
    <w:uiPriority w:val="99"/>
    <w:unhideWhenUsed/>
    <w:rsid w:val="00C823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23CA"/>
  </w:style>
  <w:style w:type="character" w:styleId="Odkaznakoment">
    <w:name w:val="annotation reference"/>
    <w:basedOn w:val="Standardnpsmoodstavce"/>
    <w:uiPriority w:val="99"/>
    <w:semiHidden/>
    <w:unhideWhenUsed/>
    <w:rsid w:val="001E3B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3BC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3BC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3B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3BCF"/>
    <w:rPr>
      <w:b/>
      <w:bCs/>
    </w:rPr>
  </w:style>
  <w:style w:type="paragraph" w:styleId="Revize">
    <w:name w:val="Revision"/>
    <w:hidden/>
    <w:uiPriority w:val="99"/>
    <w:semiHidden/>
    <w:rsid w:val="007E2500"/>
  </w:style>
  <w:style w:type="character" w:customStyle="1" w:styleId="normaltextrun">
    <w:name w:val="normaltextrun"/>
    <w:basedOn w:val="Standardnpsmoodstavce"/>
    <w:rsid w:val="00ED50FE"/>
  </w:style>
  <w:style w:type="character" w:customStyle="1" w:styleId="eop">
    <w:name w:val="eop"/>
    <w:basedOn w:val="Standardnpsmoodstavce"/>
    <w:rsid w:val="00ED5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idoo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F92F47-10FC-4471-A63A-0C4B45760054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2.xml><?xml version="1.0" encoding="utf-8"?>
<ds:datastoreItem xmlns:ds="http://schemas.openxmlformats.org/officeDocument/2006/customXml" ds:itemID="{8A9B9796-A998-4881-8B91-9891838601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81E72-FFF2-4F10-B6F6-9B352A008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997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Edita Schejbalová | FYI Prague</cp:lastModifiedBy>
  <cp:revision>17</cp:revision>
  <dcterms:created xsi:type="dcterms:W3CDTF">2026-07-25T09:31:00Z</dcterms:created>
  <dcterms:modified xsi:type="dcterms:W3CDTF">2026-07-28T08:41:00Z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