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11E" w:rsidRPr="00F220FF" w:rsidRDefault="00F34D99" w:rsidP="00F220FF">
      <w:pPr>
        <w:pStyle w:val="Nagwek1"/>
        <w:rPr>
          <w:rFonts w:asciiTheme="minorHAnsi" w:hAnsiTheme="minorHAnsi" w:cstheme="minorHAnsi"/>
          <w:color w:val="auto"/>
          <w:sz w:val="28"/>
          <w:szCs w:val="28"/>
        </w:rPr>
      </w:pPr>
      <w:r w:rsidRPr="00F220FF">
        <w:rPr>
          <w:rFonts w:asciiTheme="minorHAnsi" w:hAnsiTheme="minorHAnsi" w:cstheme="minorHAnsi"/>
          <w:color w:val="auto"/>
          <w:sz w:val="28"/>
          <w:szCs w:val="28"/>
        </w:rPr>
        <w:t xml:space="preserve">Sąd Najwyższy Hiszpanii uchyla obowiązek rejestracji </w:t>
      </w:r>
      <w:r w:rsidR="00F220FF" w:rsidRPr="00F220FF">
        <w:rPr>
          <w:rFonts w:asciiTheme="minorHAnsi" w:hAnsiTheme="minorHAnsi" w:cstheme="minorHAnsi"/>
          <w:color w:val="auto"/>
          <w:sz w:val="28"/>
          <w:szCs w:val="28"/>
        </w:rPr>
        <w:t>najmu krótkoterminowego</w:t>
      </w:r>
      <w:r w:rsidRPr="00F220FF">
        <w:rPr>
          <w:rFonts w:asciiTheme="minorHAnsi" w:hAnsiTheme="minorHAnsi" w:cstheme="minorHAnsi"/>
          <w:color w:val="auto"/>
          <w:sz w:val="28"/>
          <w:szCs w:val="28"/>
        </w:rPr>
        <w:t xml:space="preserve">. Co oznacza to dla </w:t>
      </w:r>
      <w:r w:rsidR="00F220FF">
        <w:rPr>
          <w:rFonts w:asciiTheme="minorHAnsi" w:hAnsiTheme="minorHAnsi" w:cstheme="minorHAnsi"/>
          <w:color w:val="auto"/>
          <w:sz w:val="28"/>
          <w:szCs w:val="28"/>
        </w:rPr>
        <w:t xml:space="preserve">polskich </w:t>
      </w:r>
      <w:r w:rsidRPr="00F220FF">
        <w:rPr>
          <w:rFonts w:asciiTheme="minorHAnsi" w:hAnsiTheme="minorHAnsi" w:cstheme="minorHAnsi"/>
          <w:color w:val="auto"/>
          <w:sz w:val="28"/>
          <w:szCs w:val="28"/>
        </w:rPr>
        <w:t xml:space="preserve">właścicieli </w:t>
      </w:r>
      <w:r w:rsidR="00F220FF">
        <w:rPr>
          <w:rFonts w:asciiTheme="minorHAnsi" w:hAnsiTheme="minorHAnsi" w:cstheme="minorHAnsi"/>
          <w:color w:val="auto"/>
          <w:sz w:val="28"/>
          <w:szCs w:val="28"/>
        </w:rPr>
        <w:t>nieruchomości</w:t>
      </w:r>
      <w:r w:rsidRPr="00F220FF">
        <w:rPr>
          <w:rFonts w:asciiTheme="minorHAnsi" w:hAnsiTheme="minorHAnsi" w:cstheme="minorHAnsi"/>
          <w:color w:val="auto"/>
          <w:sz w:val="28"/>
          <w:szCs w:val="28"/>
        </w:rPr>
        <w:t>?</w:t>
      </w:r>
    </w:p>
    <w:p w:rsidR="0019011E" w:rsidRPr="00F220FF" w:rsidRDefault="00F34D99">
      <w:pPr>
        <w:spacing w:after="240"/>
        <w:rPr>
          <w:rFonts w:asciiTheme="minorHAnsi" w:hAnsiTheme="minorHAnsi" w:cstheme="minorHAnsi"/>
          <w:sz w:val="28"/>
          <w:szCs w:val="28"/>
        </w:rPr>
      </w:pPr>
      <w:r w:rsidRPr="00F220FF">
        <w:rPr>
          <w:rFonts w:asciiTheme="minorHAnsi" w:hAnsiTheme="minorHAnsi" w:cstheme="minorHAnsi"/>
          <w:bCs/>
          <w:sz w:val="28"/>
          <w:szCs w:val="28"/>
        </w:rPr>
        <w:t xml:space="preserve">Sąd Najwyższy Hiszpanii orzekł, że rząd centralny przekroczył swoje kompetencje, tworząc tzw. </w:t>
      </w:r>
      <w:proofErr w:type="spellStart"/>
      <w:r w:rsidRPr="00F220FF">
        <w:rPr>
          <w:rFonts w:asciiTheme="minorHAnsi" w:hAnsiTheme="minorHAnsi" w:cstheme="minorHAnsi"/>
          <w:bCs/>
          <w:sz w:val="28"/>
          <w:szCs w:val="28"/>
        </w:rPr>
        <w:t>Registro</w:t>
      </w:r>
      <w:proofErr w:type="spellEnd"/>
      <w:r w:rsidRPr="00F220FF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F220FF">
        <w:rPr>
          <w:rFonts w:asciiTheme="minorHAnsi" w:hAnsiTheme="minorHAnsi" w:cstheme="minorHAnsi"/>
          <w:bCs/>
          <w:sz w:val="28"/>
          <w:szCs w:val="28"/>
        </w:rPr>
        <w:t>Único</w:t>
      </w:r>
      <w:proofErr w:type="spellEnd"/>
      <w:r w:rsidRPr="00F220FF">
        <w:rPr>
          <w:rFonts w:asciiTheme="minorHAnsi" w:hAnsiTheme="minorHAnsi" w:cstheme="minorHAnsi"/>
          <w:bCs/>
          <w:sz w:val="28"/>
          <w:szCs w:val="28"/>
        </w:rPr>
        <w:t xml:space="preserve"> – Jednolity Rejestr Najmu Krótkoterminowego. Przepis, który zmuszał właścicieli nieruchomości do uzyskania specjalnego numeru identyfikacyjnego</w:t>
      </w:r>
      <w:r w:rsidR="00F220FF" w:rsidRPr="00F220FF">
        <w:rPr>
          <w:rFonts w:asciiTheme="minorHAnsi" w:hAnsiTheme="minorHAnsi" w:cstheme="minorHAnsi"/>
          <w:bCs/>
          <w:sz w:val="28"/>
          <w:szCs w:val="28"/>
        </w:rPr>
        <w:t>, by móc</w:t>
      </w:r>
      <w:r w:rsidRPr="00F220FF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F220FF" w:rsidRPr="00F220FF">
        <w:rPr>
          <w:rFonts w:asciiTheme="minorHAnsi" w:hAnsiTheme="minorHAnsi" w:cstheme="minorHAnsi"/>
          <w:bCs/>
          <w:sz w:val="28"/>
          <w:szCs w:val="28"/>
        </w:rPr>
        <w:t>zamieszczać</w:t>
      </w:r>
      <w:r w:rsidRPr="00F220FF">
        <w:rPr>
          <w:rFonts w:asciiTheme="minorHAnsi" w:hAnsiTheme="minorHAnsi" w:cstheme="minorHAnsi"/>
          <w:bCs/>
          <w:sz w:val="28"/>
          <w:szCs w:val="28"/>
        </w:rPr>
        <w:t xml:space="preserve"> ofert</w:t>
      </w:r>
      <w:r w:rsidR="00F220FF" w:rsidRPr="00F220FF">
        <w:rPr>
          <w:rFonts w:asciiTheme="minorHAnsi" w:hAnsiTheme="minorHAnsi" w:cstheme="minorHAnsi"/>
          <w:bCs/>
          <w:sz w:val="28"/>
          <w:szCs w:val="28"/>
        </w:rPr>
        <w:t>y</w:t>
      </w:r>
      <w:r w:rsidRPr="00F220FF">
        <w:rPr>
          <w:rFonts w:asciiTheme="minorHAnsi" w:hAnsiTheme="minorHAnsi" w:cstheme="minorHAnsi"/>
          <w:bCs/>
          <w:sz w:val="28"/>
          <w:szCs w:val="28"/>
        </w:rPr>
        <w:t xml:space="preserve"> na platformach takich jak Airbnb czy </w:t>
      </w:r>
      <w:proofErr w:type="spellStart"/>
      <w:r w:rsidRPr="00F220FF">
        <w:rPr>
          <w:rFonts w:asciiTheme="minorHAnsi" w:hAnsiTheme="minorHAnsi" w:cstheme="minorHAnsi"/>
          <w:bCs/>
          <w:sz w:val="28"/>
          <w:szCs w:val="28"/>
        </w:rPr>
        <w:t>Booking</w:t>
      </w:r>
      <w:proofErr w:type="spellEnd"/>
      <w:r w:rsidRPr="00F220FF">
        <w:rPr>
          <w:rFonts w:asciiTheme="minorHAnsi" w:hAnsiTheme="minorHAnsi" w:cstheme="minorHAnsi"/>
          <w:bCs/>
          <w:sz w:val="28"/>
          <w:szCs w:val="28"/>
        </w:rPr>
        <w:t xml:space="preserve">, został uchylony. </w:t>
      </w:r>
    </w:p>
    <w:p w:rsidR="0019011E" w:rsidRPr="00B01A5F" w:rsidRDefault="00F220FF">
      <w:pPr>
        <w:spacing w:after="20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Przepis został</w:t>
      </w:r>
      <w:r w:rsidRPr="00F220FF">
        <w:rPr>
          <w:rFonts w:asciiTheme="minorHAnsi" w:hAnsiTheme="minorHAnsi" w:cstheme="minorHAnsi"/>
          <w:sz w:val="28"/>
          <w:szCs w:val="28"/>
        </w:rPr>
        <w:t xml:space="preserve"> wprowadzony przez rząd centralny jako element polityki </w:t>
      </w:r>
      <w:r>
        <w:rPr>
          <w:rFonts w:asciiTheme="minorHAnsi" w:hAnsiTheme="minorHAnsi" w:cstheme="minorHAnsi"/>
          <w:sz w:val="28"/>
          <w:szCs w:val="28"/>
        </w:rPr>
        <w:t xml:space="preserve">regulacji rynku turystycznego. </w:t>
      </w:r>
      <w:r w:rsidR="00B01A5F" w:rsidRPr="00B01A5F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Wyrok Sądu Najwyższego uchyla obowiązek uzyskiwania numeru rejestracyjnego w państwowym </w:t>
      </w:r>
      <w:proofErr w:type="spellStart"/>
      <w:r w:rsidR="00B01A5F" w:rsidRPr="00B01A5F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Registro</w:t>
      </w:r>
      <w:proofErr w:type="spellEnd"/>
      <w:r w:rsidR="00B01A5F" w:rsidRPr="00B01A5F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B01A5F" w:rsidRPr="00B01A5F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Único</w:t>
      </w:r>
      <w:proofErr w:type="spellEnd"/>
      <w:r w:rsidR="00B01A5F" w:rsidRPr="00B01A5F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, pozostawiając jednak w mocy regionalne regulacje oraz system wymiany danych między platformami a administracją.</w:t>
      </w:r>
    </w:p>
    <w:p w:rsidR="00F220FF" w:rsidRPr="00F220FF" w:rsidRDefault="00B10692" w:rsidP="00F220FF">
      <w:pPr>
        <w:spacing w:after="200"/>
        <w:rPr>
          <w:rFonts w:asciiTheme="minorHAnsi" w:hAnsiTheme="minorHAnsi" w:cstheme="minorHAnsi"/>
          <w:sz w:val="28"/>
          <w:szCs w:val="28"/>
        </w:rPr>
      </w:pPr>
      <w:r w:rsidRPr="00B01A5F">
        <w:rPr>
          <w:rFonts w:asciiTheme="minorHAnsi" w:hAnsiTheme="minorHAnsi" w:cstheme="minorHAnsi"/>
          <w:sz w:val="28"/>
          <w:szCs w:val="28"/>
        </w:rPr>
        <w:t>–</w:t>
      </w:r>
      <w:r w:rsidR="00F220FF" w:rsidRPr="00B01A5F">
        <w:rPr>
          <w:rFonts w:asciiTheme="minorHAnsi" w:hAnsiTheme="minorHAnsi" w:cstheme="minorHAnsi"/>
          <w:sz w:val="28"/>
          <w:szCs w:val="28"/>
        </w:rPr>
        <w:t xml:space="preserve"> To orzeczenie to ważna wiadomość dla właścicieli nieruchomości w Andaluzji, którzy od miesięcy żyli w niepewności. Wielu naszych</w:t>
      </w:r>
      <w:r w:rsidR="00F220FF" w:rsidRPr="00F220FF">
        <w:rPr>
          <w:rFonts w:asciiTheme="minorHAnsi" w:hAnsiTheme="minorHAnsi" w:cstheme="minorHAnsi"/>
          <w:sz w:val="28"/>
          <w:szCs w:val="28"/>
        </w:rPr>
        <w:t xml:space="preserve"> klientów wstrzymywało decyzje </w:t>
      </w:r>
      <w:r w:rsidR="00F34D99">
        <w:rPr>
          <w:rFonts w:asciiTheme="minorHAnsi" w:hAnsiTheme="minorHAnsi" w:cstheme="minorHAnsi"/>
          <w:sz w:val="28"/>
          <w:szCs w:val="28"/>
        </w:rPr>
        <w:t>o wystawieniu</w:t>
      </w:r>
      <w:r w:rsidR="00F220FF" w:rsidRPr="00F220FF">
        <w:rPr>
          <w:rFonts w:asciiTheme="minorHAnsi" w:hAnsiTheme="minorHAnsi" w:cstheme="minorHAnsi"/>
          <w:sz w:val="28"/>
          <w:szCs w:val="28"/>
        </w:rPr>
        <w:t xml:space="preserve"> ofert najmu lub obawiało się, że ich nieruchomości nie spełniają nowych wymogów</w:t>
      </w:r>
      <w:r w:rsidR="00F34D99">
        <w:rPr>
          <w:rFonts w:asciiTheme="minorHAnsi" w:hAnsiTheme="minorHAnsi" w:cstheme="minorHAnsi"/>
          <w:sz w:val="28"/>
          <w:szCs w:val="28"/>
        </w:rPr>
        <w:t xml:space="preserve"> </w:t>
      </w:r>
      <w:r w:rsidR="00F220FF">
        <w:rPr>
          <w:rFonts w:asciiTheme="minorHAnsi" w:hAnsiTheme="minorHAnsi" w:cstheme="minorHAnsi"/>
          <w:sz w:val="28"/>
          <w:szCs w:val="28"/>
        </w:rPr>
        <w:t>– tłumaczy Joanna Ossowska-Rodziewicz, współwłaścicielka agencji nieruchomości By-</w:t>
      </w:r>
      <w:proofErr w:type="spellStart"/>
      <w:r w:rsidR="00F220FF">
        <w:rPr>
          <w:rFonts w:asciiTheme="minorHAnsi" w:hAnsiTheme="minorHAnsi" w:cstheme="minorHAnsi"/>
          <w:sz w:val="28"/>
          <w:szCs w:val="28"/>
        </w:rPr>
        <w:t>Bright</w:t>
      </w:r>
      <w:proofErr w:type="spellEnd"/>
      <w:r w:rsidR="00F220FF">
        <w:rPr>
          <w:rFonts w:asciiTheme="minorHAnsi" w:hAnsiTheme="minorHAnsi" w:cstheme="minorHAnsi"/>
          <w:sz w:val="28"/>
          <w:szCs w:val="28"/>
        </w:rPr>
        <w:t>.</w:t>
      </w:r>
    </w:p>
    <w:p w:rsidR="0019011E" w:rsidRPr="00F220FF" w:rsidRDefault="00F34D99">
      <w:pPr>
        <w:pStyle w:val="Nagwek2"/>
        <w:rPr>
          <w:rFonts w:asciiTheme="minorHAnsi" w:hAnsiTheme="minorHAnsi" w:cstheme="minorHAnsi"/>
          <w:color w:val="auto"/>
          <w:sz w:val="28"/>
          <w:szCs w:val="28"/>
        </w:rPr>
      </w:pPr>
      <w:r w:rsidRPr="00F220FF">
        <w:rPr>
          <w:rFonts w:asciiTheme="minorHAnsi" w:hAnsiTheme="minorHAnsi" w:cstheme="minorHAnsi"/>
          <w:color w:val="auto"/>
          <w:sz w:val="28"/>
          <w:szCs w:val="28"/>
        </w:rPr>
        <w:t>Co się zmienia, a co pozostaje w mocy?</w:t>
      </w:r>
    </w:p>
    <w:p w:rsidR="0019011E" w:rsidRPr="00F220FF" w:rsidRDefault="00F34D99">
      <w:pPr>
        <w:spacing w:after="200"/>
        <w:rPr>
          <w:rFonts w:asciiTheme="minorHAnsi" w:hAnsiTheme="minorHAnsi" w:cstheme="minorHAnsi"/>
          <w:sz w:val="28"/>
          <w:szCs w:val="28"/>
        </w:rPr>
      </w:pPr>
      <w:r w:rsidRPr="00F220FF">
        <w:rPr>
          <w:rFonts w:asciiTheme="minorHAnsi" w:hAnsiTheme="minorHAnsi" w:cstheme="minorHAnsi"/>
          <w:sz w:val="28"/>
          <w:szCs w:val="28"/>
        </w:rPr>
        <w:t>Wyrok uchyla wyłącznie obowiązek uzyskania numeru identyfikacyjnego w Jednolitym Rejestrze Najmu Krótkoterminowego. Wszystkie pozostałe regulacje pozostają w mocy.</w:t>
      </w:r>
    </w:p>
    <w:p w:rsidR="0019011E" w:rsidRPr="00F220FF" w:rsidRDefault="00F34D99">
      <w:pPr>
        <w:spacing w:after="100"/>
        <w:ind w:left="360"/>
        <w:rPr>
          <w:rFonts w:asciiTheme="minorHAnsi" w:hAnsiTheme="minorHAnsi" w:cstheme="minorHAnsi"/>
          <w:sz w:val="28"/>
          <w:szCs w:val="28"/>
        </w:rPr>
      </w:pPr>
      <w:r w:rsidRPr="00F220FF">
        <w:rPr>
          <w:rFonts w:asciiTheme="minorHAnsi" w:hAnsiTheme="minorHAnsi" w:cstheme="minorHAnsi"/>
          <w:sz w:val="28"/>
          <w:szCs w:val="28"/>
        </w:rPr>
        <w:t>•  Andaluzyjska licencja turystyczna (VUT) wpisana do Regionalnego Rejestru Turystyki Andaluzji – nadal obowiązkowa.</w:t>
      </w:r>
    </w:p>
    <w:p w:rsidR="0019011E" w:rsidRPr="00F220FF" w:rsidRDefault="00F34D99">
      <w:pPr>
        <w:spacing w:after="100"/>
        <w:ind w:left="360"/>
        <w:rPr>
          <w:rFonts w:asciiTheme="minorHAnsi" w:hAnsiTheme="minorHAnsi" w:cstheme="minorHAnsi"/>
          <w:sz w:val="28"/>
          <w:szCs w:val="28"/>
        </w:rPr>
      </w:pPr>
      <w:r w:rsidRPr="00F220FF">
        <w:rPr>
          <w:rFonts w:asciiTheme="minorHAnsi" w:hAnsiTheme="minorHAnsi" w:cstheme="minorHAnsi"/>
          <w:sz w:val="28"/>
          <w:szCs w:val="28"/>
        </w:rPr>
        <w:t xml:space="preserve">•  Platformy Airbnb, </w:t>
      </w:r>
      <w:proofErr w:type="spellStart"/>
      <w:r w:rsidRPr="00F220FF">
        <w:rPr>
          <w:rFonts w:asciiTheme="minorHAnsi" w:hAnsiTheme="minorHAnsi" w:cstheme="minorHAnsi"/>
          <w:sz w:val="28"/>
          <w:szCs w:val="28"/>
        </w:rPr>
        <w:t>Booking</w:t>
      </w:r>
      <w:proofErr w:type="spellEnd"/>
      <w:r w:rsidRPr="00F220FF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F220FF">
        <w:rPr>
          <w:rFonts w:asciiTheme="minorHAnsi" w:hAnsiTheme="minorHAnsi" w:cstheme="minorHAnsi"/>
          <w:sz w:val="28"/>
          <w:szCs w:val="28"/>
        </w:rPr>
        <w:t>Vrbo</w:t>
      </w:r>
      <w:proofErr w:type="spellEnd"/>
      <w:r w:rsidRPr="00F220FF">
        <w:rPr>
          <w:rFonts w:asciiTheme="minorHAnsi" w:hAnsiTheme="minorHAnsi" w:cstheme="minorHAnsi"/>
          <w:sz w:val="28"/>
          <w:szCs w:val="28"/>
        </w:rPr>
        <w:t xml:space="preserve"> i inne działają bez zmian.</w:t>
      </w:r>
    </w:p>
    <w:p w:rsidR="0019011E" w:rsidRPr="00F220FF" w:rsidRDefault="00F34D99">
      <w:pPr>
        <w:spacing w:after="100"/>
        <w:ind w:left="360"/>
        <w:rPr>
          <w:rFonts w:asciiTheme="minorHAnsi" w:hAnsiTheme="minorHAnsi" w:cstheme="minorHAnsi"/>
          <w:sz w:val="28"/>
          <w:szCs w:val="28"/>
        </w:rPr>
      </w:pPr>
      <w:r w:rsidRPr="00F220FF">
        <w:rPr>
          <w:rFonts w:asciiTheme="minorHAnsi" w:hAnsiTheme="minorHAnsi" w:cstheme="minorHAnsi"/>
          <w:sz w:val="28"/>
          <w:szCs w:val="28"/>
        </w:rPr>
        <w:t>•  System raportowania danych przez platformy do organów władzy – w mocy.</w:t>
      </w:r>
    </w:p>
    <w:p w:rsidR="00F34D99" w:rsidRDefault="00F34D99" w:rsidP="00F220FF">
      <w:pPr>
        <w:spacing w:after="240"/>
        <w:ind w:left="360"/>
        <w:rPr>
          <w:rFonts w:asciiTheme="minorHAnsi" w:hAnsiTheme="minorHAnsi" w:cstheme="minorHAnsi"/>
          <w:sz w:val="28"/>
          <w:szCs w:val="28"/>
        </w:rPr>
      </w:pPr>
      <w:r w:rsidRPr="00F220FF">
        <w:rPr>
          <w:rFonts w:asciiTheme="minorHAnsi" w:hAnsiTheme="minorHAnsi" w:cstheme="minorHAnsi"/>
          <w:sz w:val="28"/>
          <w:szCs w:val="28"/>
        </w:rPr>
        <w:t>•  Kontrole legalności wynajmu przez gminy i Juntę Andaluzji – nadal prowadzone.</w:t>
      </w:r>
      <w:r>
        <w:rPr>
          <w:rFonts w:asciiTheme="minorHAnsi" w:hAnsiTheme="minorHAnsi" w:cstheme="minorHAnsi"/>
          <w:sz w:val="28"/>
          <w:szCs w:val="28"/>
        </w:rPr>
        <w:br/>
      </w:r>
    </w:p>
    <w:p w:rsidR="0019011E" w:rsidRPr="00B01A5F" w:rsidRDefault="00B01A5F" w:rsidP="00F220FF">
      <w:pPr>
        <w:spacing w:after="240"/>
        <w:ind w:left="360"/>
        <w:rPr>
          <w:rFonts w:asciiTheme="minorHAnsi" w:hAnsiTheme="minorHAnsi" w:cstheme="minorHAnsi"/>
          <w:sz w:val="28"/>
          <w:szCs w:val="28"/>
        </w:rPr>
      </w:pPr>
      <w:r w:rsidRPr="00B01A5F">
        <w:rPr>
          <w:rFonts w:asciiTheme="minorHAnsi" w:hAnsiTheme="minorHAnsi" w:cstheme="minorHAnsi"/>
          <w:sz w:val="28"/>
          <w:szCs w:val="28"/>
        </w:rPr>
        <w:t>–</w:t>
      </w:r>
      <w:bookmarkStart w:id="0" w:name="_GoBack"/>
      <w:bookmarkEnd w:id="0"/>
      <w:r w:rsidR="00F220FF" w:rsidRPr="00F220FF">
        <w:rPr>
          <w:rFonts w:asciiTheme="minorHAnsi" w:hAnsiTheme="minorHAnsi" w:cstheme="minorHAnsi"/>
          <w:sz w:val="28"/>
          <w:szCs w:val="28"/>
        </w:rPr>
        <w:t xml:space="preserve"> Z praktycznego punktu widzenia dla inwestorów oznacza to jedno: licencja VUT pozostaje kluczowym dokumentem, który decyduje o legalności wynajmu. Rejestracja </w:t>
      </w:r>
      <w:r w:rsidR="00F220FF" w:rsidRPr="00B01A5F">
        <w:rPr>
          <w:rFonts w:asciiTheme="minorHAnsi" w:hAnsiTheme="minorHAnsi" w:cstheme="minorHAnsi"/>
          <w:sz w:val="28"/>
          <w:szCs w:val="28"/>
        </w:rPr>
        <w:t xml:space="preserve">w </w:t>
      </w:r>
      <w:proofErr w:type="spellStart"/>
      <w:r w:rsidR="00F220FF" w:rsidRPr="00B01A5F">
        <w:rPr>
          <w:rFonts w:asciiTheme="minorHAnsi" w:hAnsiTheme="minorHAnsi" w:cstheme="minorHAnsi"/>
          <w:sz w:val="28"/>
          <w:szCs w:val="28"/>
        </w:rPr>
        <w:t>Registro</w:t>
      </w:r>
      <w:proofErr w:type="spellEnd"/>
      <w:r w:rsidR="00F220FF" w:rsidRPr="00B01A5F">
        <w:rPr>
          <w:rFonts w:asciiTheme="minorHAnsi" w:hAnsiTheme="minorHAnsi" w:cstheme="minorHAnsi"/>
          <w:sz w:val="28"/>
          <w:szCs w:val="28"/>
        </w:rPr>
        <w:t xml:space="preserve"> de la </w:t>
      </w:r>
      <w:proofErr w:type="spellStart"/>
      <w:r w:rsidR="00F220FF" w:rsidRPr="00B01A5F">
        <w:rPr>
          <w:rFonts w:asciiTheme="minorHAnsi" w:hAnsiTheme="minorHAnsi" w:cstheme="minorHAnsi"/>
          <w:sz w:val="28"/>
          <w:szCs w:val="28"/>
        </w:rPr>
        <w:t>Propiedad</w:t>
      </w:r>
      <w:proofErr w:type="spellEnd"/>
      <w:r w:rsidR="00F220FF" w:rsidRPr="00B01A5F">
        <w:rPr>
          <w:rFonts w:asciiTheme="minorHAnsi" w:hAnsiTheme="minorHAnsi" w:cstheme="minorHAnsi"/>
          <w:sz w:val="28"/>
          <w:szCs w:val="28"/>
        </w:rPr>
        <w:t xml:space="preserve"> dla celów </w:t>
      </w:r>
      <w:proofErr w:type="spellStart"/>
      <w:r w:rsidR="00F220FF" w:rsidRPr="00B01A5F">
        <w:rPr>
          <w:rFonts w:asciiTheme="minorHAnsi" w:hAnsiTheme="minorHAnsi" w:cstheme="minorHAnsi"/>
          <w:sz w:val="28"/>
          <w:szCs w:val="28"/>
        </w:rPr>
        <w:t>Registro</w:t>
      </w:r>
      <w:proofErr w:type="spellEnd"/>
      <w:r w:rsidR="00F220FF" w:rsidRPr="00B01A5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F220FF" w:rsidRPr="00B01A5F">
        <w:rPr>
          <w:rFonts w:asciiTheme="minorHAnsi" w:hAnsiTheme="minorHAnsi" w:cstheme="minorHAnsi"/>
          <w:sz w:val="28"/>
          <w:szCs w:val="28"/>
        </w:rPr>
        <w:t>Único</w:t>
      </w:r>
      <w:proofErr w:type="spellEnd"/>
      <w:r w:rsidR="00F220FF" w:rsidRPr="00B01A5F">
        <w:rPr>
          <w:rFonts w:asciiTheme="minorHAnsi" w:hAnsiTheme="minorHAnsi" w:cstheme="minorHAnsi"/>
          <w:sz w:val="28"/>
          <w:szCs w:val="28"/>
        </w:rPr>
        <w:t xml:space="preserve"> – nie jest już obowiązująca. </w:t>
      </w:r>
      <w:r w:rsidRPr="00B01A5F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To istotne uproszczenie procedur na poziomie państwowym, choć obowiązki wynikające z przepisów regionalnych i </w:t>
      </w:r>
      <w:r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lastRenderedPageBreak/>
        <w:t xml:space="preserve">unijnych pozostają w mocy </w:t>
      </w:r>
      <w:r w:rsidR="00F220FF" w:rsidRPr="00B01A5F">
        <w:rPr>
          <w:rFonts w:asciiTheme="minorHAnsi" w:hAnsiTheme="minorHAnsi" w:cstheme="minorHAnsi"/>
          <w:sz w:val="28"/>
          <w:szCs w:val="28"/>
        </w:rPr>
        <w:t xml:space="preserve">– mówi Robert </w:t>
      </w:r>
      <w:proofErr w:type="spellStart"/>
      <w:r w:rsidR="00F220FF" w:rsidRPr="00B01A5F">
        <w:rPr>
          <w:rFonts w:asciiTheme="minorHAnsi" w:hAnsiTheme="minorHAnsi" w:cstheme="minorHAnsi"/>
          <w:sz w:val="28"/>
          <w:szCs w:val="28"/>
        </w:rPr>
        <w:t>Reiski</w:t>
      </w:r>
      <w:proofErr w:type="spellEnd"/>
      <w:r w:rsidR="00F220FF" w:rsidRPr="00B01A5F">
        <w:rPr>
          <w:rFonts w:asciiTheme="minorHAnsi" w:hAnsiTheme="minorHAnsi" w:cstheme="minorHAnsi"/>
          <w:sz w:val="28"/>
          <w:szCs w:val="28"/>
        </w:rPr>
        <w:t>, współwłaściciel agencji nieruchomości By-</w:t>
      </w:r>
      <w:proofErr w:type="spellStart"/>
      <w:r w:rsidR="00F220FF" w:rsidRPr="00B01A5F">
        <w:rPr>
          <w:rFonts w:asciiTheme="minorHAnsi" w:hAnsiTheme="minorHAnsi" w:cstheme="minorHAnsi"/>
          <w:sz w:val="28"/>
          <w:szCs w:val="28"/>
        </w:rPr>
        <w:t>Bright</w:t>
      </w:r>
      <w:proofErr w:type="spellEnd"/>
      <w:r w:rsidR="00F220FF" w:rsidRPr="00B01A5F">
        <w:rPr>
          <w:rFonts w:asciiTheme="minorHAnsi" w:hAnsiTheme="minorHAnsi" w:cstheme="minorHAnsi"/>
          <w:sz w:val="28"/>
          <w:szCs w:val="28"/>
        </w:rPr>
        <w:t>.</w:t>
      </w:r>
    </w:p>
    <w:p w:rsidR="0019011E" w:rsidRPr="00B01A5F" w:rsidRDefault="00F34D99">
      <w:pPr>
        <w:pStyle w:val="Nagwek2"/>
        <w:rPr>
          <w:rFonts w:asciiTheme="minorHAnsi" w:hAnsiTheme="minorHAnsi" w:cstheme="minorHAnsi"/>
          <w:color w:val="auto"/>
          <w:sz w:val="28"/>
          <w:szCs w:val="28"/>
        </w:rPr>
      </w:pPr>
      <w:r w:rsidRPr="00B01A5F">
        <w:rPr>
          <w:rFonts w:asciiTheme="minorHAnsi" w:hAnsiTheme="minorHAnsi" w:cstheme="minorHAnsi"/>
          <w:color w:val="auto"/>
          <w:sz w:val="28"/>
          <w:szCs w:val="28"/>
        </w:rPr>
        <w:t>Co oznacza wyrok dla polskich inwestorów?</w:t>
      </w:r>
    </w:p>
    <w:p w:rsidR="0019011E" w:rsidRPr="00F220FF" w:rsidRDefault="00F34D99" w:rsidP="00F220FF">
      <w:pPr>
        <w:spacing w:after="200"/>
        <w:rPr>
          <w:rFonts w:asciiTheme="minorHAnsi" w:hAnsiTheme="minorHAnsi" w:cstheme="minorHAnsi"/>
          <w:sz w:val="28"/>
          <w:szCs w:val="28"/>
        </w:rPr>
      </w:pPr>
      <w:r w:rsidRPr="00B01A5F">
        <w:rPr>
          <w:rFonts w:asciiTheme="minorHAnsi" w:hAnsiTheme="minorHAnsi" w:cstheme="minorHAnsi"/>
          <w:sz w:val="28"/>
          <w:szCs w:val="28"/>
        </w:rPr>
        <w:t xml:space="preserve">Rynek najmu krótkoterminowego na Costa del </w:t>
      </w:r>
      <w:proofErr w:type="spellStart"/>
      <w:r w:rsidRPr="00B01A5F">
        <w:rPr>
          <w:rFonts w:asciiTheme="minorHAnsi" w:hAnsiTheme="minorHAnsi" w:cstheme="minorHAnsi"/>
          <w:sz w:val="28"/>
          <w:szCs w:val="28"/>
        </w:rPr>
        <w:t>Sol</w:t>
      </w:r>
      <w:proofErr w:type="spellEnd"/>
      <w:r w:rsidRPr="00B01A5F">
        <w:rPr>
          <w:rFonts w:asciiTheme="minorHAnsi" w:hAnsiTheme="minorHAnsi" w:cstheme="minorHAnsi"/>
          <w:sz w:val="28"/>
          <w:szCs w:val="28"/>
        </w:rPr>
        <w:t xml:space="preserve"> jest jednym z najchętniej wybieranych przez polskich inwestorów</w:t>
      </w:r>
      <w:r w:rsidR="00F220FF" w:rsidRPr="00B01A5F">
        <w:rPr>
          <w:rFonts w:asciiTheme="minorHAnsi" w:hAnsiTheme="minorHAnsi" w:cstheme="minorHAnsi"/>
          <w:sz w:val="28"/>
          <w:szCs w:val="28"/>
        </w:rPr>
        <w:t>, którzy szukają</w:t>
      </w:r>
      <w:r w:rsidRPr="00B01A5F">
        <w:rPr>
          <w:rFonts w:asciiTheme="minorHAnsi" w:hAnsiTheme="minorHAnsi" w:cstheme="minorHAnsi"/>
          <w:sz w:val="28"/>
          <w:szCs w:val="28"/>
        </w:rPr>
        <w:t xml:space="preserve"> pasywnego dochodu z nieruchomości za granicą. Wyrok Sądu Najwyższego</w:t>
      </w:r>
      <w:r w:rsidRPr="00F220FF">
        <w:rPr>
          <w:rFonts w:asciiTheme="minorHAnsi" w:hAnsiTheme="minorHAnsi" w:cstheme="minorHAnsi"/>
          <w:sz w:val="28"/>
          <w:szCs w:val="28"/>
        </w:rPr>
        <w:t xml:space="preserve"> usuwa jeden z elementów niepewności regulacyjnej, która towarzyszyła rynkowi od połowy 2025 r.</w:t>
      </w:r>
      <w:r w:rsidR="00F220FF">
        <w:rPr>
          <w:rFonts w:asciiTheme="minorHAnsi" w:hAnsiTheme="minorHAnsi" w:cstheme="minorHAnsi"/>
          <w:sz w:val="28"/>
          <w:szCs w:val="28"/>
        </w:rPr>
        <w:br/>
      </w:r>
      <w:r w:rsidR="00F220FF">
        <w:rPr>
          <w:rFonts w:asciiTheme="minorHAnsi" w:hAnsiTheme="minorHAnsi" w:cstheme="minorHAnsi"/>
          <w:sz w:val="28"/>
          <w:szCs w:val="28"/>
        </w:rPr>
        <w:br/>
      </w:r>
      <w:r w:rsidR="00B10692">
        <w:rPr>
          <w:rFonts w:asciiTheme="minorHAnsi" w:hAnsiTheme="minorHAnsi" w:cstheme="minorHAnsi"/>
          <w:sz w:val="28"/>
          <w:szCs w:val="28"/>
        </w:rPr>
        <w:t>–</w:t>
      </w:r>
      <w:r w:rsidR="00F220FF">
        <w:rPr>
          <w:rFonts w:asciiTheme="minorHAnsi" w:hAnsiTheme="minorHAnsi" w:cstheme="minorHAnsi"/>
          <w:sz w:val="28"/>
          <w:szCs w:val="28"/>
        </w:rPr>
        <w:t xml:space="preserve"> </w:t>
      </w:r>
      <w:r w:rsidR="00F220FF" w:rsidRPr="00F220FF">
        <w:rPr>
          <w:rFonts w:asciiTheme="minorHAnsi" w:hAnsiTheme="minorHAnsi" w:cstheme="minorHAnsi"/>
          <w:sz w:val="28"/>
          <w:szCs w:val="28"/>
        </w:rPr>
        <w:t>Nasz przekaz do klientów jest niezmieniony od lat: kupuj z licencj</w:t>
      </w:r>
      <w:r w:rsidR="00F220FF">
        <w:rPr>
          <w:rFonts w:asciiTheme="minorHAnsi" w:hAnsiTheme="minorHAnsi" w:cstheme="minorHAnsi"/>
          <w:sz w:val="28"/>
          <w:szCs w:val="28"/>
        </w:rPr>
        <w:t>ą turystyczną VUT i</w:t>
      </w:r>
      <w:r w:rsidR="00F220FF" w:rsidRPr="00F220FF">
        <w:rPr>
          <w:rFonts w:asciiTheme="minorHAnsi" w:hAnsiTheme="minorHAnsi" w:cstheme="minorHAnsi"/>
          <w:sz w:val="28"/>
          <w:szCs w:val="28"/>
        </w:rPr>
        <w:t xml:space="preserve"> działaj w zgodzie z przepisami andaluzyjskimi. Wyrok Sądu Najwyższego potwierdza, że to właśnie poziom regionalny jest właściwy</w:t>
      </w:r>
      <w:r>
        <w:rPr>
          <w:rFonts w:asciiTheme="minorHAnsi" w:hAnsiTheme="minorHAnsi" w:cstheme="minorHAnsi"/>
          <w:sz w:val="28"/>
          <w:szCs w:val="28"/>
        </w:rPr>
        <w:t xml:space="preserve">m miejscem regulacji tego rynku </w:t>
      </w:r>
      <w:r w:rsidR="00F220FF">
        <w:rPr>
          <w:rFonts w:asciiTheme="minorHAnsi" w:hAnsiTheme="minorHAnsi" w:cstheme="minorHAnsi"/>
          <w:sz w:val="28"/>
          <w:szCs w:val="28"/>
        </w:rPr>
        <w:t>– dodaje Joanna Ossowska-Rodziewic</w:t>
      </w:r>
      <w:r>
        <w:rPr>
          <w:rFonts w:asciiTheme="minorHAnsi" w:hAnsiTheme="minorHAnsi" w:cstheme="minorHAnsi"/>
          <w:sz w:val="28"/>
          <w:szCs w:val="28"/>
        </w:rPr>
        <w:t>z</w:t>
      </w:r>
      <w:r w:rsidR="00F220FF">
        <w:rPr>
          <w:rFonts w:asciiTheme="minorHAnsi" w:hAnsiTheme="minorHAnsi" w:cstheme="minorHAnsi"/>
          <w:sz w:val="28"/>
          <w:szCs w:val="28"/>
        </w:rPr>
        <w:t>.</w:t>
      </w:r>
    </w:p>
    <w:p w:rsidR="0019011E" w:rsidRPr="00F220FF" w:rsidRDefault="0019011E">
      <w:pPr>
        <w:jc w:val="center"/>
        <w:rPr>
          <w:rFonts w:asciiTheme="minorHAnsi" w:hAnsiTheme="minorHAnsi" w:cstheme="minorHAnsi"/>
          <w:sz w:val="28"/>
          <w:szCs w:val="28"/>
        </w:rPr>
      </w:pPr>
    </w:p>
    <w:sectPr w:rsidR="0019011E" w:rsidRPr="00F220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D00D15"/>
    <w:multiLevelType w:val="hybridMultilevel"/>
    <w:tmpl w:val="204A23BC"/>
    <w:lvl w:ilvl="0" w:tplc="275ECF58">
      <w:start w:val="1"/>
      <w:numFmt w:val="bullet"/>
      <w:lvlText w:val="●"/>
      <w:lvlJc w:val="left"/>
      <w:pPr>
        <w:ind w:left="720" w:hanging="360"/>
      </w:pPr>
    </w:lvl>
    <w:lvl w:ilvl="1" w:tplc="FCE8F338">
      <w:start w:val="1"/>
      <w:numFmt w:val="bullet"/>
      <w:lvlText w:val="○"/>
      <w:lvlJc w:val="left"/>
      <w:pPr>
        <w:ind w:left="1440" w:hanging="360"/>
      </w:pPr>
    </w:lvl>
    <w:lvl w:ilvl="2" w:tplc="3B3A9986">
      <w:start w:val="1"/>
      <w:numFmt w:val="bullet"/>
      <w:lvlText w:val="■"/>
      <w:lvlJc w:val="left"/>
      <w:pPr>
        <w:ind w:left="2160" w:hanging="360"/>
      </w:pPr>
    </w:lvl>
    <w:lvl w:ilvl="3" w:tplc="296A2F88">
      <w:start w:val="1"/>
      <w:numFmt w:val="bullet"/>
      <w:lvlText w:val="●"/>
      <w:lvlJc w:val="left"/>
      <w:pPr>
        <w:ind w:left="2880" w:hanging="360"/>
      </w:pPr>
    </w:lvl>
    <w:lvl w:ilvl="4" w:tplc="FF92473C">
      <w:start w:val="1"/>
      <w:numFmt w:val="bullet"/>
      <w:lvlText w:val="○"/>
      <w:lvlJc w:val="left"/>
      <w:pPr>
        <w:ind w:left="3600" w:hanging="360"/>
      </w:pPr>
    </w:lvl>
    <w:lvl w:ilvl="5" w:tplc="32D222C8">
      <w:start w:val="1"/>
      <w:numFmt w:val="bullet"/>
      <w:lvlText w:val="■"/>
      <w:lvlJc w:val="left"/>
      <w:pPr>
        <w:ind w:left="4320" w:hanging="360"/>
      </w:pPr>
    </w:lvl>
    <w:lvl w:ilvl="6" w:tplc="AD2859B4">
      <w:start w:val="1"/>
      <w:numFmt w:val="bullet"/>
      <w:lvlText w:val="●"/>
      <w:lvlJc w:val="left"/>
      <w:pPr>
        <w:ind w:left="5040" w:hanging="360"/>
      </w:pPr>
    </w:lvl>
    <w:lvl w:ilvl="7" w:tplc="BD36526E">
      <w:start w:val="1"/>
      <w:numFmt w:val="bullet"/>
      <w:lvlText w:val="●"/>
      <w:lvlJc w:val="left"/>
      <w:pPr>
        <w:ind w:left="5760" w:hanging="360"/>
      </w:pPr>
    </w:lvl>
    <w:lvl w:ilvl="8" w:tplc="BB40247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11E"/>
    <w:rsid w:val="0019011E"/>
    <w:rsid w:val="00B01A5F"/>
    <w:rsid w:val="00B10692"/>
    <w:rsid w:val="00F220FF"/>
    <w:rsid w:val="00F3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3DFC9"/>
  <w15:docId w15:val="{83EB28DA-82BF-4F16-BDE7-B589732CC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qFormat/>
    <w:pPr>
      <w:spacing w:before="240" w:after="160"/>
      <w:outlineLvl w:val="0"/>
    </w:pPr>
    <w:rPr>
      <w:b/>
      <w:bCs/>
      <w:color w:val="1A1A1A"/>
      <w:sz w:val="30"/>
      <w:szCs w:val="30"/>
    </w:rPr>
  </w:style>
  <w:style w:type="paragraph" w:styleId="Nagwek2">
    <w:name w:val="heading 2"/>
    <w:qFormat/>
    <w:pPr>
      <w:spacing w:before="240" w:after="120"/>
      <w:outlineLvl w:val="1"/>
    </w:pPr>
    <w:rPr>
      <w:b/>
      <w:bCs/>
      <w:color w:val="C0392B"/>
      <w:sz w:val="24"/>
      <w:szCs w:val="24"/>
    </w:rPr>
  </w:style>
  <w:style w:type="paragraph" w:styleId="Nagwek3">
    <w:name w:val="heading 3"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qFormat/>
    <w:pPr>
      <w:outlineLvl w:val="3"/>
    </w:pPr>
    <w:rPr>
      <w:i/>
      <w:iCs/>
      <w:color w:val="2E74B5"/>
    </w:rPr>
  </w:style>
  <w:style w:type="paragraph" w:styleId="Nagwek5">
    <w:name w:val="heading 5"/>
    <w:qFormat/>
    <w:pPr>
      <w:outlineLvl w:val="4"/>
    </w:pPr>
    <w:rPr>
      <w:color w:val="2E74B5"/>
    </w:rPr>
  </w:style>
  <w:style w:type="paragraph" w:styleId="Nagwek6">
    <w:name w:val="heading 6"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391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Bart Bart</cp:lastModifiedBy>
  <cp:revision>4</cp:revision>
  <dcterms:created xsi:type="dcterms:W3CDTF">2026-05-22T11:46:00Z</dcterms:created>
  <dcterms:modified xsi:type="dcterms:W3CDTF">2026-05-22T13:27:00Z</dcterms:modified>
</cp:coreProperties>
</file>