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51435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514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Konferencja prasowa „Wspólnie na rzecz likwidacji pułapki rentowej”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Kiedy: 21 stycznia 2026 r. (środa) godz. 10:00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Gdzie: Polski Związek Niewidomych, ul. Konwiktorska 9, Warszawa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Zapraszamy na konferencję prasową w sprawie likwidacji pułapki rentowej, która blokuje aktywizację i rozwój zawodowy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wydarzeniu wezmą udział przedstawiciele największych organizacji pracodawców, osoby z niepełnosprawnościami i ich sojusznicy, w tym między innymi: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Piotr Rogowiecki, Dyrektor Departamentu Analiz i Legislacji Pracodawców RP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Łukasz Wielgosz, Członek Zarządu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Przemysław Żydok, Prezes Zarządu Fundacji Aktywizacja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Czym jest pułapka rentowa?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Pułapka rentowa to mechanizm, który powoduje, że osoba pobierająca rentę z tytułu niepełnosprawności traci świadczenie częściowo lub całkowicie, jeśli przekroczy określony limit zarobków.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Skala problemu i skutki społeczne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Problem dotyczy szerokiej grupy rencistów. Nawet miliona osób pobierających renty ztytułu całkowitej lub częściowej niezdolności do pracy, renty socjalne, rodzinne, rolnicze lub mundurowe.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Według danych uśrednionych, w każdym miesiącu 2024 roku ZUS zawiesił wypłatę 6,6 tys. rent, a kolejne 3,5 tys. pomniejszył, z powodu osiągnięcia zbyt dużych przychodów przez rencistów. To pozostawiło w budżecie państwa około 144 mln zł, ale kosztem ograniczenia aktywności zawodowej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Badania pokazują, że około 40% osób z niepełnosprawnościami z obawy przed utratą renty rezygnuje z podejmowania pracy lub rozwoju kariery, co oznacza zmarnowany potencjał, a także negatywny wpływ na życie osobiste, społeczne oraz gospodarkę.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Korzyści z likwidacji pułapki rentowej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Szacuje się, że każda dodatkowa aktywna zawodowo osoba z niepełnosprawnością generowałaby dla budżetu wpływy w wysokości około 25,3 tys. zł rocznie z tytułu składek i podatków (przy założeniu płacy minimalnej). Wystarczy zwiększyć zatrudnienie o około 6,5 tys. osób, aby dodatkowe wpływy pokryły koszty likwidacji pułapki rentowej.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Działania i postulat inicjatywy społecznej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grudniu 2024 r., zawiązała się społeczna Inicjatywa na rzecz likwidacji pułapki rentowej, w skład której wchodzi kilkanaście organizacji pozarządowych, niezależni aktywiści i aktywistki.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Inicjatywa występuje z postulatem zniesienia limitów przychodu dla wszystkich rencistów z niepełnosprawnościami. Aktywnie działa i prowadzi dialog z politykami oraz urzędnikami, apelując o realizację tej od dawna oczekiwanej zmiany.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 nie tylko kwestia zmiany prawa, ale również wsparcia rynku pracy, ochrony społecznej i godności osób z niepełnosprawnościami. Termin realizacji postulatu został ściśle określony w Strategii na rzecz Osób z Niepełnosprawnościami na lata 2021-2030 i upłynął z końcem 2025 roku.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Członkowie społecznej Inicjatywy na rzecz likwidacji pułapki rentowej dla wszystkich rencistów z niepełnosprawnościami: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Centrum Wsparcia Sp. z o.o.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Dolnośląskie Stowarzyszenie Aktywizacji Niepełnosprawnych,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Dział ds. Absolwentów Towarzystwa Opieki nad Ociemniałymi Stowarzyszenie,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Aktywizacja,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Blind&amp;amp;Proud,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Centrum Edukacji Niewidzialna,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Instytut Rozwoju Regionalnego,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Motywacji i Rozwoju Głuchych,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Otwartych Możliwości,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Strefa Innowacji,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Szansa – Jesteśmy Razem,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Fundacja Vis Maior Pies Przewodnik,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profil internetowy Mikołów Bez Barier,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Małgorzata Szumowska - Niewidzialna Wystawa,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Karkonoski Sejmik Osób Niepełnosprawnych,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Konfederacja Lewiatan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Polskie Forum Osób z Niepełnosprawnościami,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Polski Związek Głuchych,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Polski Związek Niewidomych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Pracodawcy RP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oraz niezależni aktywiści i aktywistki.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500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2e4f7273b2fa16c8d2cbf9db05f258b4b57ea37ce5182bdb2ee801e661201dd4konferencja-prasowa-wspolnie-na-r20260116-8-e8da09.docx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