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u w:val="single"/>
          <w:rtl w:val="0"/>
        </w:rPr>
        <w:t xml:space="preserve">TZ: Zlaťáky.cz spouští Zlatou rentu. Tato novinka</w:t>
      </w:r>
      <w:r w:rsidDel="00000000" w:rsidR="00000000" w:rsidRPr="00000000">
        <w:rPr>
          <w:b w:val="1"/>
          <w:bCs w:val="1"/>
          <w:color w:val="222222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0"/>
          <w:szCs w:val="20"/>
          <w:u w:val="single"/>
          <w:rtl w:val="0"/>
        </w:rPr>
        <w:t xml:space="preserve">umožní pravidelné spoření do fyzického zlata online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Praha, 13. dubna 2026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Společnost Zlaťáky.cz spouští nový produkt s názvem Zlatá renta, která umožňuje pravidelné spoření do fyzického zlata z pohodlí domova. Novinka je určena lidem, kteří chtějí dlouhodobě ukládat i menší částky a postupně je proměňovat v ryzí zlato, a to s možností uzavření smlouvy i správy účtu plně online. Každá měsíční splátka je přeměněna na skutečné ryzí zlato a klient má průběh svého spoření kdykoliv k dispozici ve svém online účtu.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Zlatá renta</w:t>
        </w:r>
      </w:hyperlink>
      <w:r w:rsidDel="00000000" w:rsidR="00000000" w:rsidRPr="00000000">
        <w:rPr>
          <w:sz w:val="20"/>
          <w:szCs w:val="20"/>
          <w:rtl w:val="0"/>
        </w:rPr>
        <w:t xml:space="preserve"> rozšiřuje portfolio</w:t>
      </w:r>
      <w:r w:rsidDel="00000000" w:rsidR="00000000" w:rsidRPr="00000000">
        <w:rPr>
          <w:sz w:val="20"/>
          <w:szCs w:val="20"/>
          <w:rtl w:val="0"/>
        </w:rPr>
        <w:t xml:space="preserve"> nabídky </w:t>
      </w:r>
      <w:r w:rsidDel="00000000" w:rsidR="00000000" w:rsidRPr="00000000">
        <w:rPr>
          <w:sz w:val="20"/>
          <w:szCs w:val="20"/>
          <w:rtl w:val="0"/>
        </w:rPr>
        <w:t xml:space="preserve">Zlaťáky.cz v době, kdy roste zájem o drahé kovy jako o nástroj diverzifikace majetku a dlouhodobého uchování hodnoty.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„Zlato je prověřené časem, funguje jako stabilní uchovatel hodnoty a může sloužit jako pojistka proti inflaci, krizím nebo politickým otřesům. Investiční zlato je navíc osvobozeno od DPH,“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říká Matěj Čeleš, ředitel společnosti Zlaťáky.cz.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Produkt</w:t>
      </w:r>
      <w:r w:rsidDel="00000000" w:rsidR="00000000" w:rsidRPr="00000000">
        <w:rPr>
          <w:sz w:val="20"/>
          <w:szCs w:val="20"/>
          <w:rtl w:val="0"/>
        </w:rPr>
        <w:t xml:space="preserve"> je postavena na jednoduchém principu pravidelného nákupu zlata a nabízí několik variant spoření podle preferencí klienta a to: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Dynamika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Garance</w:t>
        </w:r>
      </w:hyperlink>
      <w:r w:rsidDel="00000000" w:rsidR="00000000" w:rsidRPr="00000000">
        <w:rPr>
          <w:sz w:val="20"/>
          <w:szCs w:val="20"/>
          <w:rtl w:val="0"/>
        </w:rPr>
        <w:t xml:space="preserve"> a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Sběratel</w:t>
        </w:r>
      </w:hyperlink>
      <w:r w:rsidDel="00000000" w:rsidR="00000000" w:rsidRPr="00000000">
        <w:rPr>
          <w:sz w:val="20"/>
          <w:szCs w:val="20"/>
          <w:rtl w:val="0"/>
        </w:rPr>
        <w:t xml:space="preserve">. Program Dynamika umožňuje reagovat na aktuální cenu zlata a délka spoření se může měnit podle vývoje trhu, přičemž maximální doba spoření je až pět let. Programy Garance a Sběratel pracují s pevně </w:t>
      </w:r>
      <w:r w:rsidDel="00000000" w:rsidR="00000000" w:rsidRPr="00000000">
        <w:rPr>
          <w:sz w:val="20"/>
          <w:szCs w:val="20"/>
          <w:rtl w:val="0"/>
        </w:rPr>
        <w:t xml:space="preserve">rozdělenou</w:t>
      </w:r>
      <w:r w:rsidDel="00000000" w:rsidR="00000000" w:rsidRPr="00000000">
        <w:rPr>
          <w:sz w:val="20"/>
          <w:szCs w:val="20"/>
          <w:rtl w:val="0"/>
        </w:rPr>
        <w:t xml:space="preserve"> celkovou částkou do pravidelných splátek, přičemž maximální délka splácení je dva roky.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„Našim klientům chceme nabídnout co nejjednodušší vstup do pravidelného pořizování zlata. Mezi výhody patří první spoření bez vstupních poplatků, široký výběr zlatých produktů, rychlé sjednání online a možnost nastavit si spoření podle individuálních potřeb. V nabídce jsou investiční slitky, investiční mince i sběratelské mince,“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doplňuje Čeleš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Velkou roli hraje i zázemí značky Zlaťáky.cz, která obchoduje se vzácnými kovy více než 20 let. Zájemci mohou využít také síť partnerských prodejen v Česku a na Slovensku, kde jim odborníci pomohou s výběrem vhodné varianty spoření. Celý proces lze zároveň vyřídit online během několika minut a klient má ve svém účtu kdykoliv k dispozici přehled o uzavřených spořeních i jednotlivých platbách.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„Zlatá renta je odpovědí na poptávku po jednoduchém a dostupném způsobu, jak si pravidelně budovat rezervu ve fyzickém zlatě. Chceme lidem nabídnout službu, která propojuje pohodlnou online správu, možnost osobní konzultace a zázemí silné značky s dlouholetou zkušeností na trhu se zlatem,“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dodává.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276" w:lineRule="auto"/>
        <w:jc w:val="both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Společnost Zlaťáky.cz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31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" w:lineRule="auto"/>
        <w:jc w:val="center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Kontakt pro média: 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Dominika Bártová</w:t>
      </w:r>
    </w:p>
    <w:p w:rsidR="00000000" w:rsidDel="00000000" w:rsidP="00000000" w:rsidRDefault="00000000" w:rsidRPr="00000000" w14:paraId="00000023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PR Manager Zlaťáky.cz</w:t>
      </w:r>
    </w:p>
    <w:p w:rsidR="00000000" w:rsidDel="00000000" w:rsidP="00000000" w:rsidRDefault="00000000" w:rsidRPr="00000000" w14:paraId="00000024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Tel.: 607 846 988</w:t>
      </w:r>
    </w:p>
    <w:p w:rsidR="00000000" w:rsidDel="00000000" w:rsidP="00000000" w:rsidRDefault="00000000" w:rsidRPr="00000000" w14:paraId="00000025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i w:val="1"/>
            <w:iCs w:val="1"/>
            <w:color w:val="1155cc"/>
            <w:sz w:val="16"/>
            <w:szCs w:val="16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ominika.bartova@zlataky.cz" TargetMode="External"/><Relationship Id="rId10" Type="http://schemas.openxmlformats.org/officeDocument/2006/relationships/hyperlink" Target="https://zlatarenta.cz/sporeni/sberate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latarenta.cz/sporeni/garanc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latarenta.cz/" TargetMode="External"/><Relationship Id="rId8" Type="http://schemas.openxmlformats.org/officeDocument/2006/relationships/hyperlink" Target="https://zlatarenta.cz/sporeni/dynamik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ZNDEMB/U8c2tp1BIsqXG5QCow==">CgMxLjA4AHIhMXZpOEhyV0hFNmxLSW1tUDNRMy1GckpTd0ZwZlVSVDhq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