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509AE908" w:rsidP="1C262ABB" w:rsidRDefault="738B8A95" w14:paraId="449A7BA0" w14:textId="1BCCACE0">
      <w:pPr>
        <w:pStyle w:val="Nadpis1"/>
        <w:spacing w:before="322" w:after="322"/>
        <w:jc w:val="both"/>
        <w:rPr>
          <w:rFonts w:ascii="Century Gothic" w:hAnsi="Century Gothic" w:eastAsia="Century Gothic" w:cs="Century Gothic"/>
          <w:b/>
          <w:bCs/>
          <w:sz w:val="22"/>
          <w:szCs w:val="22"/>
        </w:rPr>
      </w:pPr>
      <w:r w:rsidRPr="1C262ABB">
        <w:rPr>
          <w:rFonts w:ascii="Century Gothic" w:hAnsi="Century Gothic" w:eastAsia="Century Gothic" w:cs="Century Gothic"/>
          <w:b/>
          <w:bCs/>
          <w:sz w:val="22"/>
          <w:szCs w:val="22"/>
        </w:rPr>
        <w:t>Analýza odpadu na KVIFF: Přibližně polovinu objemu odpadu tvoří nápojové obaly vhodné k recyklaci. Festival p</w:t>
      </w:r>
      <w:r w:rsidRPr="1C262ABB" w:rsidR="77260E02">
        <w:rPr>
          <w:rFonts w:ascii="Century Gothic" w:hAnsi="Century Gothic" w:eastAsia="Century Gothic" w:cs="Century Gothic"/>
          <w:b/>
          <w:bCs/>
          <w:sz w:val="22"/>
          <w:szCs w:val="22"/>
        </w:rPr>
        <w:t>lánuje</w:t>
      </w:r>
      <w:r w:rsidRPr="1C262ABB">
        <w:rPr>
          <w:rFonts w:ascii="Century Gothic" w:hAnsi="Century Gothic" w:eastAsia="Century Gothic" w:cs="Century Gothic"/>
          <w:b/>
          <w:bCs/>
          <w:sz w:val="22"/>
          <w:szCs w:val="22"/>
        </w:rPr>
        <w:t xml:space="preserve"> nová opatření, pomohlo by i celorepublikové zálohování PET lahví a plechovek</w:t>
      </w:r>
    </w:p>
    <w:p w:rsidR="509AE908" w:rsidP="1C262ABB" w:rsidRDefault="738B8A95" w14:paraId="19DD90AC" w14:textId="50A3D2C0">
      <w:pPr>
        <w:spacing w:before="240" w:after="240"/>
        <w:jc w:val="right"/>
        <w:rPr>
          <w:rFonts w:ascii="Century Gothic" w:hAnsi="Century Gothic" w:eastAsia="Century Gothic" w:cs="Century Gothic"/>
          <w:sz w:val="22"/>
          <w:szCs w:val="22"/>
        </w:rPr>
      </w:pPr>
      <w:r w:rsidRPr="1EBEDFA2" w:rsidR="69333EB9">
        <w:rPr>
          <w:rFonts w:ascii="Century Gothic" w:hAnsi="Century Gothic" w:eastAsia="Century Gothic" w:cs="Century Gothic"/>
          <w:sz w:val="22"/>
          <w:szCs w:val="22"/>
        </w:rPr>
        <w:t xml:space="preserve">Karlovy Vary, </w:t>
      </w:r>
      <w:r w:rsidRPr="1EBEDFA2" w:rsidR="04654EC2">
        <w:rPr>
          <w:rFonts w:ascii="Century Gothic" w:hAnsi="Century Gothic" w:eastAsia="Century Gothic" w:cs="Century Gothic"/>
          <w:sz w:val="22"/>
          <w:szCs w:val="22"/>
        </w:rPr>
        <w:t>20</w:t>
      </w:r>
      <w:r w:rsidRPr="1EBEDFA2" w:rsidR="69333EB9">
        <w:rPr>
          <w:rFonts w:ascii="Century Gothic" w:hAnsi="Century Gothic" w:eastAsia="Century Gothic" w:cs="Century Gothic"/>
          <w:sz w:val="22"/>
          <w:szCs w:val="22"/>
        </w:rPr>
        <w:t>. července 2026</w:t>
      </w:r>
    </w:p>
    <w:p w:rsidR="509AE908" w:rsidP="26D5F724" w:rsidRDefault="738B8A95" w14:paraId="0DCFFB72" w14:textId="30F9B9DA">
      <w:pPr>
        <w:pStyle w:val="Normln"/>
        <w:suppressLineNumbers w:val="0"/>
        <w:bidi w:val="0"/>
        <w:spacing w:before="240" w:beforeAutospacing="off" w:after="240" w:afterAutospacing="off" w:line="279" w:lineRule="auto"/>
        <w:ind w:left="0" w:right="0"/>
        <w:jc w:val="both"/>
        <w:rPr>
          <w:rFonts w:ascii="Century Gothic" w:hAnsi="Century Gothic" w:eastAsia="Century Gothic" w:cs="Century Gothic"/>
          <w:b w:val="1"/>
          <w:bCs w:val="1"/>
          <w:sz w:val="22"/>
          <w:szCs w:val="22"/>
        </w:rPr>
      </w:pPr>
      <w:r w:rsidRPr="26D5F724" w:rsidR="49B02BD2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Pilotní analýza odpadu z Mezinárodního filmového festivalu Karlovy Vary </w:t>
      </w:r>
      <w:r w:rsidRPr="26D5F724" w:rsidR="6B120C5C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(MFF KV) </w:t>
      </w:r>
      <w:r w:rsidRPr="26D5F724" w:rsidR="49B02BD2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ukázala, že přibližně polovinu objemu analyzovaného odpadu</w:t>
      </w:r>
      <w:r w:rsidRPr="26D5F724" w:rsidR="6D709410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 z Dvoř</w:t>
      </w:r>
      <w:r w:rsidRPr="26D5F724" w:rsidR="3D217568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á</w:t>
      </w:r>
      <w:r w:rsidRPr="26D5F724" w:rsidR="6D709410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kových a Smetanových sadů</w:t>
      </w:r>
      <w:r w:rsidRPr="26D5F724" w:rsidR="49B02BD2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 tvořily nápojové obaly vhodné k recyklaci – PET lahve, nápojové plechovky a skleněné lahve. </w:t>
      </w:r>
      <w:r w:rsidRPr="26D5F724" w:rsidR="54A42CF7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Z</w:t>
      </w:r>
      <w:r w:rsidRPr="26D5F724" w:rsidR="49B02BD2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 velké části </w:t>
      </w:r>
      <w:r w:rsidRPr="26D5F724" w:rsidR="22E1FAF5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jde </w:t>
      </w:r>
      <w:r w:rsidRPr="26D5F724" w:rsidR="49B02BD2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o obaly, které si návštěvníci přinášejí z obchodů, restaurací a dalších provozoven mimo festival, protože </w:t>
      </w:r>
      <w:r w:rsidRPr="26D5F724" w:rsidR="20755B5B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MFF KV</w:t>
      </w:r>
      <w:r w:rsidRPr="26D5F724" w:rsidR="49B02BD2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 se neodehrává v uzavřeném areálu, ale ve veřejném prostoru města. Výsledky pilotní analýzy ukazují význam systémových řešení, jako je zálohování PET lahví a plechovek, a zároveň poslouží organizátorům jako podklad pro konkrétní opatření v oblasti odpadového hospodářství</w:t>
      </w:r>
      <w:r w:rsidRPr="26D5F724" w:rsidR="08304BE7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 festivalu</w:t>
      </w:r>
      <w:r w:rsidRPr="26D5F724" w:rsidR="49B02BD2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. </w:t>
      </w:r>
    </w:p>
    <w:p w:rsidR="509AE908" w:rsidP="1C262ABB" w:rsidRDefault="48105B8C" w14:paraId="0499F30F" w14:textId="5E5E174C">
      <w:pPr>
        <w:spacing w:before="240" w:after="240"/>
        <w:jc w:val="both"/>
      </w:pPr>
      <w:r w:rsidRPr="26D5F724" w:rsidR="1DB03E00">
        <w:rPr>
          <w:rFonts w:ascii="Century Gothic" w:hAnsi="Century Gothic" w:eastAsia="Century Gothic" w:cs="Century Gothic"/>
          <w:sz w:val="22"/>
          <w:szCs w:val="22"/>
        </w:rPr>
        <w:t xml:space="preserve">Organizátoři festivalu a společnost Kärcher nyní výsledky detailně vyhodnotí a využijí je jako podklad pro přípravu dalších ročníků. Zaměří se na rozmístění sběrných míst, jejich viditelnost, logistiku svozu i komunikaci směrem k návštěvníkům. </w:t>
      </w:r>
      <w:r w:rsidRPr="26D5F724" w:rsidR="1DB03E00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>„</w:t>
      </w:r>
      <w:r w:rsidRPr="26D5F724" w:rsidR="1DB03E00">
        <w:rPr>
          <w:rFonts w:ascii="Century Gothic" w:hAnsi="Century Gothic" w:eastAsia="Century Gothic" w:cs="Century Gothic"/>
          <w:b w:val="0"/>
          <w:bCs w:val="0"/>
          <w:i w:val="1"/>
          <w:iCs w:val="1"/>
          <w:sz w:val="22"/>
          <w:szCs w:val="22"/>
        </w:rPr>
        <w:t>Letošní</w:t>
      </w:r>
      <w:r w:rsidRPr="26D5F724" w:rsidR="1DB03E00">
        <w:rPr>
          <w:rFonts w:ascii="Century Gothic" w:hAnsi="Century Gothic" w:eastAsia="Century Gothic" w:cs="Century Gothic"/>
          <w:b w:val="1"/>
          <w:bCs w:val="1"/>
          <w:i w:val="1"/>
          <w:iCs w:val="1"/>
          <w:sz w:val="22"/>
          <w:szCs w:val="22"/>
        </w:rPr>
        <w:t xml:space="preserve"> </w:t>
      </w:r>
      <w:r w:rsidRPr="26D5F724" w:rsidR="1DB03E0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analýza nám poprvé poskytla detailní data o tom, jak a jaký odpad během festivalu skutečně vzniká. Vedle detailnější analýzy rozmístění košů a jejich viditelnosti ve veřejném prostoru chceme prověřit možnosti navýšení počtu sběrných míst, zejména pro tříděný odpad. Připravíme také osvětovou komunikační kampaň směrem k návštěvníkům festivalu, a to jak v online prostředí, tak přímo v areálu festivalu. Chceme, aby se festival v oblasti udržitelnosti rozvíjel na základě reálných dat a zkušeností z provozu</w:t>
      </w:r>
      <w:r w:rsidRPr="26D5F724" w:rsidR="1DB03E00">
        <w:rPr>
          <w:rFonts w:ascii="Century Gothic" w:hAnsi="Century Gothic" w:eastAsia="Century Gothic" w:cs="Century Gothic"/>
          <w:sz w:val="22"/>
          <w:szCs w:val="22"/>
        </w:rPr>
        <w:t>,“ říká</w:t>
      </w:r>
      <w:r w:rsidRPr="26D5F724" w:rsidR="1DB03E00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 Petr Lintimer, ředitel produkce MFF Karlovy Vary. </w:t>
      </w:r>
    </w:p>
    <w:p w:rsidR="509AE908" w:rsidP="26D5F724" w:rsidRDefault="738B8A95" w14:paraId="69F94D85" w14:textId="6B397A81">
      <w:pPr>
        <w:pStyle w:val="Normln"/>
        <w:suppressLineNumbers w:val="0"/>
        <w:bidi w:val="0"/>
        <w:spacing w:before="240" w:beforeAutospacing="off" w:after="240" w:afterAutospacing="off" w:line="279" w:lineRule="auto"/>
        <w:ind w:left="0" w:right="0"/>
        <w:jc w:val="both"/>
        <w:rPr>
          <w:rFonts w:ascii="Century Gothic" w:hAnsi="Century Gothic" w:eastAsia="Century Gothic" w:cs="Century Gothic"/>
          <w:sz w:val="22"/>
          <w:szCs w:val="22"/>
        </w:rPr>
      </w:pPr>
      <w:r w:rsidRPr="26D5F724" w:rsidR="49B02BD2">
        <w:rPr>
          <w:rFonts w:ascii="Century Gothic" w:hAnsi="Century Gothic" w:eastAsia="Century Gothic" w:cs="Century Gothic"/>
          <w:sz w:val="22"/>
          <w:szCs w:val="22"/>
        </w:rPr>
        <w:t xml:space="preserve">Pilotní analýzu iniciovala </w:t>
      </w:r>
      <w:r w:rsidRPr="26D5F724" w:rsidR="33481EE5">
        <w:rPr>
          <w:rFonts w:ascii="Century Gothic" w:hAnsi="Century Gothic" w:eastAsia="Century Gothic" w:cs="Century Gothic"/>
          <w:sz w:val="22"/>
          <w:szCs w:val="22"/>
        </w:rPr>
        <w:t>platforma</w:t>
      </w:r>
      <w:r w:rsidRPr="26D5F724" w:rsidR="49B02BD2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26D5F724" w:rsidR="49B02BD2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Zálohujme</w:t>
      </w:r>
      <w:r w:rsidRPr="26D5F724" w:rsidR="17C5D427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.cz</w:t>
      </w:r>
      <w:r w:rsidRPr="26D5F724" w:rsidR="49B02BD2">
        <w:rPr>
          <w:rFonts w:ascii="Century Gothic" w:hAnsi="Century Gothic" w:eastAsia="Century Gothic" w:cs="Century Gothic"/>
          <w:sz w:val="22"/>
          <w:szCs w:val="22"/>
        </w:rPr>
        <w:t xml:space="preserve">. Uskutečnit se ji podařilo díky společnosti </w:t>
      </w:r>
      <w:r w:rsidRPr="26D5F724" w:rsidR="49B02BD2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Kärcher</w:t>
      </w:r>
      <w:r w:rsidRPr="26D5F724" w:rsidR="49B02BD2">
        <w:rPr>
          <w:rFonts w:ascii="Century Gothic" w:hAnsi="Century Gothic" w:eastAsia="Century Gothic" w:cs="Century Gothic"/>
          <w:sz w:val="22"/>
          <w:szCs w:val="22"/>
        </w:rPr>
        <w:t xml:space="preserve">, dlouholetému partnerovi MFF Karlovy Vary, který zajišťuje čistotu ve Dvořákových a Smetanových sadech. </w:t>
      </w:r>
      <w:r w:rsidRPr="26D5F724" w:rsidR="66D80375">
        <w:rPr>
          <w:rFonts w:ascii="Century Gothic" w:hAnsi="Century Gothic" w:eastAsia="Century Gothic" w:cs="Century Gothic"/>
          <w:sz w:val="22"/>
          <w:szCs w:val="22"/>
        </w:rPr>
        <w:t>Projekt pomohli realizovat</w:t>
      </w:r>
      <w:r w:rsidRPr="26D5F724" w:rsidR="49B02BD2">
        <w:rPr>
          <w:rFonts w:ascii="Century Gothic" w:hAnsi="Century Gothic" w:eastAsia="Century Gothic" w:cs="Century Gothic"/>
          <w:sz w:val="22"/>
          <w:szCs w:val="22"/>
        </w:rPr>
        <w:t xml:space="preserve"> Lázeňské lesy a parky Karlovy Vary (LLPKV) a společnost Augiášův chlév. </w:t>
      </w:r>
    </w:p>
    <w:p w:rsidR="509AE908" w:rsidP="1C262ABB" w:rsidRDefault="1CCAA6A0" w14:paraId="629D6625" w14:textId="2E69F64B">
      <w:pPr>
        <w:spacing w:before="240" w:after="240"/>
        <w:jc w:val="both"/>
        <w:rPr>
          <w:rFonts w:ascii="Century Gothic" w:hAnsi="Century Gothic" w:eastAsia="Century Gothic" w:cs="Century Gothic"/>
          <w:sz w:val="22"/>
          <w:szCs w:val="22"/>
        </w:rPr>
      </w:pPr>
      <w:r w:rsidRPr="1EBEDFA2" w:rsidR="36BF04DD">
        <w:rPr>
          <w:rFonts w:ascii="Century Gothic" w:hAnsi="Century Gothic" w:eastAsia="Century Gothic" w:cs="Century Gothic"/>
          <w:sz w:val="22"/>
          <w:szCs w:val="22"/>
        </w:rPr>
        <w:t xml:space="preserve">Pracovníci LLPKV k analýze svezli odpad vzniklý během neděle ve Dvořákových a Smetanových sadech. Celkem pracovníci roztřídili a analyzovali </w:t>
      </w:r>
      <w:r w:rsidRPr="1EBEDFA2" w:rsidR="36BF04DD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392,27 kilogram</w:t>
      </w:r>
      <w:r w:rsidRPr="1EBEDFA2" w:rsidR="33E03287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ů</w:t>
      </w:r>
      <w:r w:rsidRPr="1EBEDFA2" w:rsidR="36BF04DD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 odpadu o objemu přibližně 4,5 m³</w:t>
      </w:r>
      <w:r w:rsidRPr="1EBEDFA2" w:rsidR="36BF04DD">
        <w:rPr>
          <w:rFonts w:ascii="Century Gothic" w:hAnsi="Century Gothic" w:eastAsia="Century Gothic" w:cs="Century Gothic"/>
          <w:sz w:val="22"/>
          <w:szCs w:val="22"/>
        </w:rPr>
        <w:t xml:space="preserve">. Nejvýznamnější skupinu představovaly právě nápojové obaly. PET lahve, nápojové plechovky a skleněné lahve dohromady tvořily přibližně polovinu objemu analyzovaného odpadu. </w:t>
      </w:r>
      <w:r w:rsidRPr="1EBEDFA2" w:rsidR="51847232">
        <w:rPr>
          <w:rFonts w:ascii="Century Gothic" w:hAnsi="Century Gothic" w:eastAsia="Century Gothic" w:cs="Century Gothic"/>
          <w:sz w:val="22"/>
          <w:szCs w:val="22"/>
        </w:rPr>
        <w:t>M</w:t>
      </w:r>
      <w:r w:rsidRPr="1EBEDFA2" w:rsidR="36BF04DD">
        <w:rPr>
          <w:rFonts w:ascii="Century Gothic" w:hAnsi="Century Gothic" w:eastAsia="Century Gothic" w:cs="Century Gothic"/>
          <w:sz w:val="22"/>
          <w:szCs w:val="22"/>
        </w:rPr>
        <w:t xml:space="preserve">imo odpadkové koše bylo </w:t>
      </w:r>
      <w:r w:rsidRPr="1EBEDFA2" w:rsidR="7080FA21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posbíráno</w:t>
      </w:r>
      <w:r w:rsidRPr="1EBEDFA2" w:rsidR="36BF04DD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 385 PET lahví a 533 nápojových plechovek</w:t>
      </w:r>
      <w:r w:rsidRPr="1EBEDFA2" w:rsidR="36BF04DD">
        <w:rPr>
          <w:rFonts w:ascii="Century Gothic" w:hAnsi="Century Gothic" w:eastAsia="Century Gothic" w:cs="Century Gothic"/>
          <w:sz w:val="22"/>
          <w:szCs w:val="22"/>
        </w:rPr>
        <w:t xml:space="preserve">. V přepočtu na celý devítidenní festival to </w:t>
      </w:r>
      <w:r w:rsidRPr="1EBEDFA2" w:rsidR="1A1FE94B">
        <w:rPr>
          <w:rFonts w:ascii="Century Gothic" w:hAnsi="Century Gothic" w:eastAsia="Century Gothic" w:cs="Century Gothic"/>
          <w:sz w:val="22"/>
          <w:szCs w:val="22"/>
        </w:rPr>
        <w:t xml:space="preserve">dle metodiky analýzy </w:t>
      </w:r>
      <w:r w:rsidRPr="1EBEDFA2" w:rsidR="36BF04DD">
        <w:rPr>
          <w:rFonts w:ascii="Century Gothic" w:hAnsi="Century Gothic" w:eastAsia="Century Gothic" w:cs="Century Gothic"/>
          <w:sz w:val="22"/>
          <w:szCs w:val="22"/>
        </w:rPr>
        <w:t>představuje přibližně 22 700 PET lahví a více než 31 000 plechovek. Pokud by na tyto obaly byl zaveden</w:t>
      </w:r>
      <w:r w:rsidRPr="1EBEDFA2" w:rsidR="32015DB9">
        <w:rPr>
          <w:rFonts w:ascii="Century Gothic" w:hAnsi="Century Gothic" w:eastAsia="Century Gothic" w:cs="Century Gothic"/>
          <w:sz w:val="22"/>
          <w:szCs w:val="22"/>
        </w:rPr>
        <w:t xml:space="preserve"> plošný</w:t>
      </w:r>
      <w:r w:rsidRPr="1EBEDFA2" w:rsidR="36BF04DD">
        <w:rPr>
          <w:rFonts w:ascii="Century Gothic" w:hAnsi="Century Gothic" w:eastAsia="Century Gothic" w:cs="Century Gothic"/>
          <w:sz w:val="22"/>
          <w:szCs w:val="22"/>
        </w:rPr>
        <w:t xml:space="preserve"> zálohový systém </w:t>
      </w:r>
      <w:r w:rsidRPr="1EBEDFA2" w:rsidR="36BF04DD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s modelovou zálohou 4 Kč, představovala by jejich hodnota více než 215 tisíc korun</w:t>
      </w:r>
      <w:r w:rsidRPr="1EBEDFA2" w:rsidR="61890677">
        <w:rPr>
          <w:rFonts w:ascii="Century Gothic" w:hAnsi="Century Gothic" w:eastAsia="Century Gothic" w:cs="Century Gothic"/>
          <w:sz w:val="22"/>
          <w:szCs w:val="22"/>
        </w:rPr>
        <w:t>.</w:t>
      </w:r>
    </w:p>
    <w:p w:rsidR="509AE908" w:rsidP="1C262ABB" w:rsidRDefault="738B8A95" w14:paraId="6FF935FE" w14:textId="55DCF154">
      <w:pPr>
        <w:spacing w:before="240" w:after="240"/>
        <w:jc w:val="both"/>
        <w:rPr>
          <w:rFonts w:ascii="Century Gothic" w:hAnsi="Century Gothic" w:eastAsia="Century Gothic" w:cs="Century Gothic"/>
          <w:sz w:val="22"/>
          <w:szCs w:val="22"/>
        </w:rPr>
      </w:pPr>
      <w:r w:rsidRPr="1C262ABB">
        <w:rPr>
          <w:rFonts w:ascii="Century Gothic" w:hAnsi="Century Gothic" w:eastAsia="Century Gothic" w:cs="Century Gothic"/>
          <w:sz w:val="22"/>
          <w:szCs w:val="22"/>
        </w:rPr>
        <w:lastRenderedPageBreak/>
        <w:t xml:space="preserve">Naopak festivalových vratných kelímků bylo v celém analyzovaném vzorku nalezeno pouze </w:t>
      </w:r>
      <w:r w:rsidRPr="1C262ABB">
        <w:rPr>
          <w:rFonts w:ascii="Century Gothic" w:hAnsi="Century Gothic" w:eastAsia="Century Gothic" w:cs="Century Gothic"/>
          <w:b/>
          <w:bCs/>
          <w:sz w:val="22"/>
          <w:szCs w:val="22"/>
        </w:rPr>
        <w:t>21 kusů</w:t>
      </w:r>
      <w:r w:rsidRPr="1C262ABB">
        <w:rPr>
          <w:rFonts w:ascii="Century Gothic" w:hAnsi="Century Gothic" w:eastAsia="Century Gothic" w:cs="Century Gothic"/>
          <w:sz w:val="22"/>
          <w:szCs w:val="22"/>
        </w:rPr>
        <w:t xml:space="preserve">, což potvrzuje, že finanční motivace významně ovlivňuje chování návštěvníků a omezuje množství odhozených obalů ve veřejném prostoru. </w:t>
      </w:r>
    </w:p>
    <w:p w:rsidR="509AE908" w:rsidP="1C262ABB" w:rsidRDefault="0071503E" w14:paraId="14B32149" w14:textId="01BEE596">
      <w:pPr>
        <w:spacing w:before="240" w:after="240"/>
        <w:jc w:val="both"/>
      </w:pPr>
      <w:r>
        <w:rPr>
          <w:rFonts w:ascii="Century Gothic" w:hAnsi="Century Gothic" w:eastAsia="Century Gothic" w:cs="Century Gothic"/>
          <w:sz w:val="22"/>
          <w:szCs w:val="22"/>
        </w:rPr>
        <w:t>„</w:t>
      </w:r>
      <w:r w:rsidRPr="1C262ABB" w:rsidR="75DB419D">
        <w:rPr>
          <w:rFonts w:ascii="Century Gothic" w:hAnsi="Century Gothic" w:eastAsia="Century Gothic" w:cs="Century Gothic"/>
          <w:sz w:val="22"/>
          <w:szCs w:val="22"/>
        </w:rPr>
        <w:t>Analýza ukazuje, že ve veřejném prostoru nekončí bezcenný odpad, ale především hodnotné suroviny vhodné k recyklaci. Významnou část z nich tvoří nápojové obaly. U vratných pivních lahví dlouhodobě funguje motivační systém záloh, u PET lahví a nápojových plechovek ale podobný mechanismus stále chybí. Přitom právě tyto obaly tvoří významnou část odpadu ve veřejném prostoru</w:t>
      </w:r>
      <w:r>
        <w:rPr>
          <w:rFonts w:ascii="Century Gothic" w:hAnsi="Century Gothic" w:eastAsia="Century Gothic" w:cs="Century Gothic"/>
          <w:sz w:val="22"/>
          <w:szCs w:val="22"/>
        </w:rPr>
        <w:t>, nejen na festivalu</w:t>
      </w:r>
      <w:r w:rsidRPr="1C262ABB" w:rsidR="75DB419D">
        <w:rPr>
          <w:rFonts w:ascii="Century Gothic" w:hAnsi="Century Gothic" w:eastAsia="Century Gothic" w:cs="Century Gothic"/>
          <w:sz w:val="22"/>
          <w:szCs w:val="22"/>
        </w:rPr>
        <w:t xml:space="preserve">. Výsledky analýzy potvrzují, že zavedení zálohování PET lahví a plechovek by výrazně pomohlo nejen </w:t>
      </w:r>
      <w:r>
        <w:rPr>
          <w:rFonts w:ascii="Century Gothic" w:hAnsi="Century Gothic" w:eastAsia="Century Gothic" w:cs="Century Gothic"/>
          <w:sz w:val="22"/>
          <w:szCs w:val="22"/>
        </w:rPr>
        <w:t>MFF KV</w:t>
      </w:r>
      <w:r w:rsidRPr="1C262ABB" w:rsidR="75DB419D">
        <w:rPr>
          <w:rFonts w:ascii="Century Gothic" w:hAnsi="Century Gothic" w:eastAsia="Century Gothic" w:cs="Century Gothic"/>
          <w:sz w:val="22"/>
          <w:szCs w:val="22"/>
        </w:rPr>
        <w:t xml:space="preserve">, ale i dalším kulturním, sportovním nebo společenským akcím pořádaným ve veřejném prostoru měst,“ </w:t>
      </w:r>
      <w:r w:rsidRPr="1C262ABB" w:rsidR="75DB419D">
        <w:rPr>
          <w:rFonts w:ascii="Century Gothic" w:hAnsi="Century Gothic" w:eastAsia="Century Gothic" w:cs="Century Gothic"/>
          <w:b/>
          <w:bCs/>
          <w:sz w:val="22"/>
          <w:szCs w:val="22"/>
        </w:rPr>
        <w:t>říká Lutfia Miňovská z iniciativy Zálohujme.</w:t>
      </w:r>
    </w:p>
    <w:p w:rsidR="509AE908" w:rsidP="1C262ABB" w:rsidRDefault="738B8A95" w14:paraId="3B25E390" w14:textId="41CB3DEC">
      <w:pPr>
        <w:spacing w:before="240" w:after="240"/>
        <w:jc w:val="both"/>
        <w:rPr>
          <w:rFonts w:ascii="Century Gothic" w:hAnsi="Century Gothic" w:eastAsia="Century Gothic" w:cs="Century Gothic"/>
          <w:sz w:val="22"/>
          <w:szCs w:val="22"/>
        </w:rPr>
      </w:pPr>
      <w:r w:rsidRPr="1C262ABB">
        <w:rPr>
          <w:rFonts w:ascii="Century Gothic" w:hAnsi="Century Gothic" w:eastAsia="Century Gothic" w:cs="Century Gothic"/>
          <w:sz w:val="22"/>
          <w:szCs w:val="22"/>
        </w:rPr>
        <w:t>Výsledky analýzy potvrzují, že významná část nápojových obalů dnes zbytečně zatěžuje úklid i odpadové hospodářství festivalu. Zálohování PET lahví a plechovek by pomohlo vrátit tyto obaly zpět do recyklace, snížit množství odpadu ve veřejném prostoru a současně ulevit organizátorům i městu od části nákladů spojených s jejich úklidem a svozem. Uvolněné kapacity i prostředky by pak bylo možné využít pro další zlepšování odpadového hospodářství a služeb pro návštěvníky.</w:t>
      </w:r>
    </w:p>
    <w:p w:rsidR="509AE908" w:rsidP="1C262ABB" w:rsidRDefault="738B8A95" w14:paraId="02F94204" w14:textId="602BE31C">
      <w:pPr>
        <w:pStyle w:val="Nadpis2"/>
        <w:spacing w:before="299" w:after="299"/>
        <w:jc w:val="both"/>
        <w:rPr>
          <w:rFonts w:ascii="Century Gothic" w:hAnsi="Century Gothic" w:eastAsia="Century Gothic" w:cs="Century Gothic"/>
          <w:b/>
          <w:bCs/>
          <w:sz w:val="22"/>
          <w:szCs w:val="22"/>
        </w:rPr>
      </w:pPr>
      <w:r w:rsidRPr="1C262ABB">
        <w:rPr>
          <w:rFonts w:ascii="Century Gothic" w:hAnsi="Century Gothic" w:eastAsia="Century Gothic" w:cs="Century Gothic"/>
          <w:b/>
          <w:bCs/>
          <w:sz w:val="22"/>
          <w:szCs w:val="22"/>
        </w:rPr>
        <w:t>Výsledky analýzy povedou ke konkrétním změnám</w:t>
      </w:r>
    </w:p>
    <w:p w:rsidR="509AE908" w:rsidP="1C262ABB" w:rsidRDefault="738B8A95" w14:paraId="70D1E78B" w14:textId="3B2D3A31">
      <w:pPr>
        <w:spacing w:before="240" w:after="240"/>
        <w:jc w:val="both"/>
        <w:rPr>
          <w:rFonts w:ascii="Century Gothic" w:hAnsi="Century Gothic" w:eastAsia="Century Gothic" w:cs="Century Gothic"/>
          <w:sz w:val="22"/>
          <w:szCs w:val="22"/>
        </w:rPr>
      </w:pPr>
      <w:r w:rsidRPr="00EA1CEA">
        <w:rPr>
          <w:rFonts w:ascii="Century Gothic" w:hAnsi="Century Gothic" w:eastAsia="Century Gothic" w:cs="Century Gothic"/>
          <w:sz w:val="22"/>
          <w:szCs w:val="22"/>
        </w:rPr>
        <w:t>„Rozmístění</w:t>
      </w:r>
      <w:r w:rsidRPr="1C262ABB">
        <w:rPr>
          <w:rFonts w:ascii="Century Gothic" w:hAnsi="Century Gothic" w:eastAsia="Century Gothic" w:cs="Century Gothic"/>
          <w:sz w:val="22"/>
          <w:szCs w:val="22"/>
        </w:rPr>
        <w:t xml:space="preserve"> odpadkových košů připravujeme každoročně ve spolupráci s organizátory festivalu a vychází ze zkušeností z předchozích ročníků i z provozních možností jednotlivých lokalit. Na základě doporučení společnosti LLPKV jsme letos navýšili počet košových rámů z 35 na 45, tedy téměř o 30 %. Pilotní analýza nám nyní poprvé poskytla detailní data o tom, jak lidé během festivalu s odpady skutečně nakládají. Společně s organizátory výsledky vyhodnotíme a využijeme je při přípravě příštího ročníku – od optimalizace rozmístění sběrných míst přes logistiku svozu až po další opatření, která pomohou zvýšit podíl vytříděného odpadu a omezit littering</w:t>
      </w:r>
      <w:r w:rsidRPr="1C262ABB">
        <w:rPr>
          <w:rFonts w:ascii="Century Gothic" w:hAnsi="Century Gothic" w:eastAsia="Century Gothic" w:cs="Century Gothic"/>
          <w:b/>
          <w:bCs/>
          <w:sz w:val="22"/>
          <w:szCs w:val="22"/>
        </w:rPr>
        <w:t>,“</w:t>
      </w:r>
      <w:r w:rsidRPr="1C262ABB">
        <w:rPr>
          <w:rFonts w:ascii="Century Gothic" w:hAnsi="Century Gothic" w:eastAsia="Century Gothic" w:cs="Century Gothic"/>
          <w:sz w:val="22"/>
          <w:szCs w:val="22"/>
        </w:rPr>
        <w:t xml:space="preserve"> doplňuje </w:t>
      </w:r>
      <w:r w:rsidRPr="1C262ABB">
        <w:rPr>
          <w:rFonts w:ascii="Century Gothic" w:hAnsi="Century Gothic" w:eastAsia="Century Gothic" w:cs="Century Gothic"/>
          <w:b/>
          <w:bCs/>
          <w:sz w:val="22"/>
          <w:szCs w:val="22"/>
        </w:rPr>
        <w:t>Martina Chalupecká, Marketing &amp; PR Specialist společnosti Kärcher.</w:t>
      </w:r>
    </w:p>
    <w:p w:rsidR="509AE908" w:rsidP="1C262ABB" w:rsidRDefault="509AE908" w14:paraId="325482BB" w14:textId="160ACC17">
      <w:pPr>
        <w:jc w:val="both"/>
        <w:rPr>
          <w:rFonts w:ascii="Century Gothic" w:hAnsi="Century Gothic" w:eastAsia="Century Gothic" w:cs="Century Gothic"/>
          <w:sz w:val="22"/>
          <w:szCs w:val="22"/>
        </w:rPr>
      </w:pPr>
    </w:p>
    <w:sectPr w:rsidR="509AE908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72A17D5"/>
    <w:rsid w:val="00390FD8"/>
    <w:rsid w:val="0071503E"/>
    <w:rsid w:val="00EA1CEA"/>
    <w:rsid w:val="0453210E"/>
    <w:rsid w:val="04654EC2"/>
    <w:rsid w:val="04BBC7A0"/>
    <w:rsid w:val="08304BE7"/>
    <w:rsid w:val="15FAF372"/>
    <w:rsid w:val="16CF8A05"/>
    <w:rsid w:val="17C5D427"/>
    <w:rsid w:val="183CDE33"/>
    <w:rsid w:val="1A1FE94B"/>
    <w:rsid w:val="1C262ABB"/>
    <w:rsid w:val="1CCAA6A0"/>
    <w:rsid w:val="1DB03E00"/>
    <w:rsid w:val="1DBEAA51"/>
    <w:rsid w:val="1DC4CD8A"/>
    <w:rsid w:val="1E99C34C"/>
    <w:rsid w:val="1EBEDFA2"/>
    <w:rsid w:val="20254ADE"/>
    <w:rsid w:val="203349BF"/>
    <w:rsid w:val="20348361"/>
    <w:rsid w:val="20755B5B"/>
    <w:rsid w:val="210C08A7"/>
    <w:rsid w:val="22E1FAF5"/>
    <w:rsid w:val="235B0C69"/>
    <w:rsid w:val="26D5F724"/>
    <w:rsid w:val="2A9C909F"/>
    <w:rsid w:val="2B4BB2D9"/>
    <w:rsid w:val="2C096FA5"/>
    <w:rsid w:val="30CBF7FF"/>
    <w:rsid w:val="32015DB9"/>
    <w:rsid w:val="33481EE5"/>
    <w:rsid w:val="33D7A8FF"/>
    <w:rsid w:val="33E03287"/>
    <w:rsid w:val="34D2DBD8"/>
    <w:rsid w:val="3584AA69"/>
    <w:rsid w:val="36610343"/>
    <w:rsid w:val="36BF04DD"/>
    <w:rsid w:val="376ED466"/>
    <w:rsid w:val="395B91B9"/>
    <w:rsid w:val="3BC65B03"/>
    <w:rsid w:val="3D217568"/>
    <w:rsid w:val="3D984594"/>
    <w:rsid w:val="424FB44B"/>
    <w:rsid w:val="453BA85E"/>
    <w:rsid w:val="472A17D5"/>
    <w:rsid w:val="48105B8C"/>
    <w:rsid w:val="49B02BD2"/>
    <w:rsid w:val="4CD52EAF"/>
    <w:rsid w:val="4D53AC4E"/>
    <w:rsid w:val="4DA48791"/>
    <w:rsid w:val="509AE908"/>
    <w:rsid w:val="51847232"/>
    <w:rsid w:val="54A42CF7"/>
    <w:rsid w:val="5A66325C"/>
    <w:rsid w:val="61890677"/>
    <w:rsid w:val="62146533"/>
    <w:rsid w:val="66D80375"/>
    <w:rsid w:val="67EE7F66"/>
    <w:rsid w:val="680EEF66"/>
    <w:rsid w:val="6815E08A"/>
    <w:rsid w:val="6853E60C"/>
    <w:rsid w:val="69333EB9"/>
    <w:rsid w:val="6B120C5C"/>
    <w:rsid w:val="6D709410"/>
    <w:rsid w:val="7080FA21"/>
    <w:rsid w:val="714D3459"/>
    <w:rsid w:val="738B8A95"/>
    <w:rsid w:val="73C77412"/>
    <w:rsid w:val="75DB419D"/>
    <w:rsid w:val="77260E02"/>
    <w:rsid w:val="7789FF59"/>
    <w:rsid w:val="7DE6F6C3"/>
    <w:rsid w:val="7E05C5E4"/>
    <w:rsid w:val="7E7C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040F"/>
  <w15:chartTrackingRefBased/>
  <w15:docId w15:val="{4DECFB2C-3096-41C0-8721-F4EA1427D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rsid w:val="509AE90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rsid w:val="509AE90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9" ma:contentTypeDescription="Vytvoří nový dokument" ma:contentTypeScope="" ma:versionID="fa62b0eabd5f0b5c79ef38fb3a7b7c23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24fce95aee727562a8295e7f60eef102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Props1.xml><?xml version="1.0" encoding="utf-8"?>
<ds:datastoreItem xmlns:ds="http://schemas.openxmlformats.org/officeDocument/2006/customXml" ds:itemID="{26804A73-5EF4-4944-99BB-000D744730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E143B7-BAC5-49E5-A0C3-1EB6E877C9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F79811-38AB-405B-9B25-1531C37A752C}">
  <ds:schemaRefs>
    <ds:schemaRef ds:uri="http://schemas.microsoft.com/office/2006/metadata/properties"/>
    <ds:schemaRef ds:uri="http://schemas.microsoft.com/office/infopath/2007/PartnerControls"/>
    <ds:schemaRef ds:uri="c4bd89eb-21fa-4fdd-b1c5-cc2ed2d0c008"/>
    <ds:schemaRef ds:uri="c8a507f3-de26-4dcb-9614-5e60dd875d1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Matulová Monika</dc:creator>
  <keywords/>
  <dc:description/>
  <lastModifiedBy>Matulová Monika</lastModifiedBy>
  <revision>5</revision>
  <dcterms:created xsi:type="dcterms:W3CDTF">2026-07-15T08:53:00.0000000Z</dcterms:created>
  <dcterms:modified xsi:type="dcterms:W3CDTF">2026-07-17T13:31:50.6815172Z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/>
  </property>
</Properties>
</file>