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B478" w14:textId="23E04A40" w:rsidR="00D33130" w:rsidRDefault="046FEA3D" w:rsidP="0B3B4056">
      <w:pPr>
        <w:spacing w:after="0"/>
        <w:jc w:val="center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6"/>
          <w:szCs w:val="26"/>
        </w:rPr>
        <w:t>Cenu Magnesia za přínos knižní kultuře získali zakladatelé festivalu Svět knihy</w:t>
      </w:r>
      <w:r w:rsidR="5956D12A"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6"/>
          <w:szCs w:val="26"/>
        </w:rPr>
        <w:t>. Knihou roku je</w:t>
      </w:r>
      <w:r w:rsidR="1775547B"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6"/>
          <w:szCs w:val="26"/>
        </w:rPr>
        <w:t xml:space="preserve"> román</w:t>
      </w:r>
      <w:r w:rsidR="5956D12A"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6"/>
          <w:szCs w:val="26"/>
        </w:rPr>
        <w:t xml:space="preserve"> Letnice.</w:t>
      </w:r>
      <w:r w:rsidR="00086AC7">
        <w:br/>
      </w:r>
    </w:p>
    <w:p w14:paraId="1452818D" w14:textId="196C7A8B" w:rsidR="00D33130" w:rsidRDefault="046FEA3D" w:rsidP="7C3607CF">
      <w:pPr>
        <w:jc w:val="right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7C3607CF">
        <w:rPr>
          <w:rStyle w:val="normaltextrun"/>
          <w:rFonts w:ascii="Century Gothic" w:eastAsia="Century Gothic" w:hAnsi="Century Gothic" w:cs="Century Gothic"/>
          <w:color w:val="000000" w:themeColor="text1"/>
        </w:rPr>
        <w:t>Praha, 24. dubna 2025</w:t>
      </w:r>
    </w:p>
    <w:p w14:paraId="63AA41C2" w14:textId="1E5A3202" w:rsidR="00D33130" w:rsidRDefault="046FEA3D" w:rsidP="0B3B4056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  <w:u w:val="single"/>
        </w:rPr>
      </w:pPr>
      <w:r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Letošní čtyřiadvacátý ročník knižních cen Magnesia Litera ocenil řadu významných literárních počinů. Značka Magnesia, která je </w:t>
      </w:r>
      <w:r w:rsidR="7846BE65" w:rsidRPr="40B411B3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hlavním </w:t>
      </w:r>
      <w:r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partnerem cen </w:t>
      </w:r>
      <w:r w:rsidR="7D3CC0CA" w:rsidRPr="40B411B3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už od počátku</w:t>
      </w:r>
      <w:r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, letos potřetí udělila čestnou Cenu Magnesia za přínos knižní kultuře – tu si odnesli zakladatelé Mezinárodního knižního veletrhu a literárního festivalu Svět knihy Dana Kalinová, Jan </w:t>
      </w:r>
      <w:proofErr w:type="spellStart"/>
      <w:r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Kanzelsberger</w:t>
      </w:r>
      <w:proofErr w:type="spellEnd"/>
      <w:r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 a Ivo Železný.</w:t>
      </w:r>
      <w:r w:rsidR="415CD1A2"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 Hlavní cenu Kniha roku a finanční odměnu 200 000 Kč </w:t>
      </w:r>
      <w:r w:rsidR="606E8516"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získal </w:t>
      </w:r>
      <w:r w:rsidR="415CD1A2"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Miroslav </w:t>
      </w:r>
      <w:proofErr w:type="spellStart"/>
      <w:r w:rsidR="415CD1A2"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Hlaučo</w:t>
      </w:r>
      <w:proofErr w:type="spellEnd"/>
      <w:r w:rsidR="415CD1A2"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 za román Letnice</w:t>
      </w:r>
      <w:r w:rsidR="7A5D605D"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.</w:t>
      </w:r>
    </w:p>
    <w:p w14:paraId="74CAB341" w14:textId="0485AAA2" w:rsidR="00D33130" w:rsidRDefault="046FEA3D" w:rsidP="004445BF">
      <w:pPr>
        <w:spacing w:before="240" w:after="0" w:line="24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Slavnostní udílení výročních knižních cen proběhlo ve čtvrtek 24. dubna již tradičně na Nové scéně Národního divadla. </w:t>
      </w:r>
      <w:r w:rsidR="71E0E499" w:rsidRPr="0B3B4056">
        <w:rPr>
          <w:rFonts w:ascii="Century Gothic" w:eastAsia="Century Gothic" w:hAnsi="Century Gothic" w:cs="Century Gothic"/>
          <w:sz w:val="22"/>
          <w:szCs w:val="22"/>
        </w:rPr>
        <w:t xml:space="preserve">Vítězem hlavní kategorie </w:t>
      </w:r>
      <w:r w:rsidR="71E0E499" w:rsidRPr="0B3B4056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Kniha roku se stal Miroslav </w:t>
      </w:r>
      <w:proofErr w:type="spellStart"/>
      <w:r w:rsidR="71E0E499" w:rsidRPr="0B3B4056">
        <w:rPr>
          <w:rFonts w:ascii="Century Gothic" w:eastAsia="Century Gothic" w:hAnsi="Century Gothic" w:cs="Century Gothic"/>
          <w:b/>
          <w:bCs/>
          <w:sz w:val="22"/>
          <w:szCs w:val="22"/>
        </w:rPr>
        <w:t>Hlaučo</w:t>
      </w:r>
      <w:proofErr w:type="spellEnd"/>
      <w:r w:rsidR="71E0E499" w:rsidRPr="0B3B4056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s</w:t>
      </w:r>
      <w:r w:rsidR="106B6E2D" w:rsidRPr="0B3B4056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mysteriózním</w:t>
      </w:r>
      <w:r w:rsidR="71E0E499" w:rsidRPr="0B3B4056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románem </w:t>
      </w:r>
      <w:r w:rsidR="71E0E499" w:rsidRPr="0B3B4056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</w:rPr>
        <w:t>Letnice</w:t>
      </w:r>
      <w:r w:rsidR="71E0E499" w:rsidRPr="0B3B4056">
        <w:rPr>
          <w:rFonts w:ascii="Century Gothic" w:eastAsia="Century Gothic" w:hAnsi="Century Gothic" w:cs="Century Gothic"/>
          <w:sz w:val="22"/>
          <w:szCs w:val="22"/>
        </w:rPr>
        <w:t xml:space="preserve">. Dílo s nápaditě využitými prvky magického realismu odkazuje na velká vyprávění minulosti – od </w:t>
      </w:r>
      <w:r w:rsidR="71E0E499" w:rsidRPr="0B3B4056">
        <w:rPr>
          <w:rFonts w:ascii="Century Gothic" w:eastAsia="Century Gothic" w:hAnsi="Century Gothic" w:cs="Century Gothic"/>
          <w:i/>
          <w:iCs/>
          <w:sz w:val="22"/>
          <w:szCs w:val="22"/>
        </w:rPr>
        <w:t>Odyssey</w:t>
      </w:r>
      <w:r w:rsidR="71E0E499" w:rsidRPr="0B3B4056">
        <w:rPr>
          <w:rFonts w:ascii="Century Gothic" w:eastAsia="Century Gothic" w:hAnsi="Century Gothic" w:cs="Century Gothic"/>
          <w:sz w:val="22"/>
          <w:szCs w:val="22"/>
        </w:rPr>
        <w:t xml:space="preserve"> přes </w:t>
      </w:r>
      <w:r w:rsidR="71E0E499" w:rsidRPr="0B3B4056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Dona </w:t>
      </w:r>
      <w:proofErr w:type="spellStart"/>
      <w:r w:rsidR="71E0E499" w:rsidRPr="0B3B4056">
        <w:rPr>
          <w:rFonts w:ascii="Century Gothic" w:eastAsia="Century Gothic" w:hAnsi="Century Gothic" w:cs="Century Gothic"/>
          <w:i/>
          <w:iCs/>
          <w:sz w:val="22"/>
          <w:szCs w:val="22"/>
        </w:rPr>
        <w:t>Quijota</w:t>
      </w:r>
      <w:proofErr w:type="spellEnd"/>
      <w:r w:rsidR="71E0E499" w:rsidRPr="0B3B4056">
        <w:rPr>
          <w:rFonts w:ascii="Century Gothic" w:eastAsia="Century Gothic" w:hAnsi="Century Gothic" w:cs="Century Gothic"/>
          <w:sz w:val="22"/>
          <w:szCs w:val="22"/>
        </w:rPr>
        <w:t xml:space="preserve"> po </w:t>
      </w:r>
      <w:r w:rsidR="71E0E499" w:rsidRPr="0B3B4056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Tristrama </w:t>
      </w:r>
      <w:proofErr w:type="spellStart"/>
      <w:r w:rsidR="71E0E499" w:rsidRPr="0B3B4056">
        <w:rPr>
          <w:rFonts w:ascii="Century Gothic" w:eastAsia="Century Gothic" w:hAnsi="Century Gothic" w:cs="Century Gothic"/>
          <w:i/>
          <w:iCs/>
          <w:sz w:val="22"/>
          <w:szCs w:val="22"/>
        </w:rPr>
        <w:t>Shandyho</w:t>
      </w:r>
      <w:proofErr w:type="spellEnd"/>
      <w:r w:rsidR="71E0E499" w:rsidRPr="0B3B4056"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3646FE00" w14:textId="6DDB1A3F" w:rsidR="00D33130" w:rsidRDefault="00D33130" w:rsidP="0B3B4056">
      <w:pPr>
        <w:spacing w:after="0" w:line="24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1FD0776C" w14:textId="490F1852" w:rsidR="00D33130" w:rsidRDefault="71E0E499" w:rsidP="0B3B4056">
      <w:pPr>
        <w:spacing w:after="0" w:line="24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B3B4056">
        <w:rPr>
          <w:rFonts w:ascii="Century Gothic" w:eastAsia="Century Gothic" w:hAnsi="Century Gothic" w:cs="Century Gothic"/>
          <w:sz w:val="22"/>
          <w:szCs w:val="22"/>
        </w:rPr>
        <w:t xml:space="preserve">O hlavní ceně </w:t>
      </w:r>
      <w:r w:rsidRPr="40B411B3">
        <w:rPr>
          <w:rFonts w:ascii="Century Gothic" w:eastAsia="Century Gothic" w:hAnsi="Century Gothic" w:cs="Century Gothic"/>
          <w:b/>
          <w:sz w:val="22"/>
          <w:szCs w:val="22"/>
        </w:rPr>
        <w:t>Kniha roku</w:t>
      </w:r>
      <w:r w:rsidRPr="0B3B4056">
        <w:rPr>
          <w:rFonts w:ascii="Century Gothic" w:eastAsia="Century Gothic" w:hAnsi="Century Gothic" w:cs="Century Gothic"/>
          <w:sz w:val="22"/>
          <w:szCs w:val="22"/>
        </w:rPr>
        <w:t xml:space="preserve"> rozhod</w:t>
      </w:r>
      <w:r w:rsidR="06F24358" w:rsidRPr="0B3B4056">
        <w:rPr>
          <w:rFonts w:ascii="Century Gothic" w:eastAsia="Century Gothic" w:hAnsi="Century Gothic" w:cs="Century Gothic"/>
          <w:sz w:val="22"/>
          <w:szCs w:val="22"/>
        </w:rPr>
        <w:t>l</w:t>
      </w:r>
      <w:r w:rsidRPr="0B3B4056">
        <w:rPr>
          <w:rFonts w:ascii="Century Gothic" w:eastAsia="Century Gothic" w:hAnsi="Century Gothic" w:cs="Century Gothic"/>
          <w:sz w:val="22"/>
          <w:szCs w:val="22"/>
        </w:rPr>
        <w:t xml:space="preserve"> třísetčlenný sbor odborníků z knižní branže – tvoř</w:t>
      </w:r>
      <w:r w:rsidR="2C1D5333" w:rsidRPr="0B3B4056">
        <w:rPr>
          <w:rFonts w:ascii="Century Gothic" w:eastAsia="Century Gothic" w:hAnsi="Century Gothic" w:cs="Century Gothic"/>
          <w:sz w:val="22"/>
          <w:szCs w:val="22"/>
        </w:rPr>
        <w:t>ili</w:t>
      </w:r>
      <w:r w:rsidRPr="0B3B4056">
        <w:rPr>
          <w:rFonts w:ascii="Century Gothic" w:eastAsia="Century Gothic" w:hAnsi="Century Gothic" w:cs="Century Gothic"/>
          <w:sz w:val="22"/>
          <w:szCs w:val="22"/>
        </w:rPr>
        <w:t xml:space="preserve"> ho knihkupci, knihovníci, redaktoři, literární kritici, pedagogové i autoři. Kromě prestižního titulu je s oceněním spojena také </w:t>
      </w:r>
      <w:r w:rsidRPr="40B411B3">
        <w:rPr>
          <w:rFonts w:ascii="Century Gothic" w:eastAsia="Century Gothic" w:hAnsi="Century Gothic" w:cs="Century Gothic"/>
          <w:b/>
          <w:sz w:val="22"/>
          <w:szCs w:val="22"/>
        </w:rPr>
        <w:t>finanční odměna ve výši 200 000 Kč</w:t>
      </w:r>
      <w:r w:rsidRPr="0B3B4056">
        <w:rPr>
          <w:rFonts w:ascii="Century Gothic" w:eastAsia="Century Gothic" w:hAnsi="Century Gothic" w:cs="Century Gothic"/>
          <w:sz w:val="22"/>
          <w:szCs w:val="22"/>
        </w:rPr>
        <w:t>, kterou tradičně poskytuje partner cen Magnesia, značka společnosti Mattoni 1873.</w:t>
      </w:r>
    </w:p>
    <w:p w14:paraId="4CD9342C" w14:textId="3DCD8308" w:rsidR="00D33130" w:rsidRDefault="00D33130" w:rsidP="0B3B4056">
      <w:pPr>
        <w:spacing w:after="0" w:line="24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591D90FB" w14:textId="2564ED45" w:rsidR="00D33130" w:rsidRDefault="135F1791" w:rsidP="0B3B4056">
      <w:pPr>
        <w:spacing w:after="0" w:line="240" w:lineRule="auto"/>
        <w:jc w:val="both"/>
        <w:rPr>
          <w:rStyle w:val="normaltextrun"/>
          <w:rFonts w:ascii="Century Gothic" w:eastAsia="Century Gothic" w:hAnsi="Century Gothic" w:cs="Century Gothic"/>
          <w:color w:val="000000" w:themeColor="text1"/>
        </w:rPr>
      </w:pPr>
      <w:r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Za Magnesii poblahopřála </w:t>
      </w:r>
      <w:r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 xml:space="preserve">Senior </w:t>
      </w:r>
      <w:proofErr w:type="spellStart"/>
      <w:r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brand</w:t>
      </w:r>
      <w:proofErr w:type="spellEnd"/>
      <w:r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 xml:space="preserve"> managerka Vladimíra Procházková:</w:t>
      </w:r>
      <w:r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</w:t>
      </w:r>
      <w:r w:rsidRPr="0B3B4056">
        <w:rPr>
          <w:rStyle w:val="normaltextrun"/>
          <w:rFonts w:ascii="Century Gothic" w:eastAsia="Century Gothic" w:hAnsi="Century Gothic" w:cs="Century Gothic"/>
          <w:i/>
          <w:iCs/>
          <w:color w:val="000000" w:themeColor="text1"/>
        </w:rPr>
        <w:t xml:space="preserve">„Je skvělé, že česká literatura stále přichází s originálními a silnými příběhy, které oslovují jak čtenáře, tak odbornou porotu. </w:t>
      </w:r>
      <w:r w:rsidRPr="0B3B4056">
        <w:rPr>
          <w:rFonts w:ascii="Century Gothic" w:eastAsia="Century Gothic" w:hAnsi="Century Gothic" w:cs="Century Gothic"/>
          <w:i/>
          <w:iCs/>
          <w:sz w:val="22"/>
          <w:szCs w:val="22"/>
        </w:rPr>
        <w:t>Jako dlouholetý partner Magnesia Litera si vážíme toho, že můžeme ocenit výjimečné knižní počiny nejen symbolicky, ale i konkrétní finanční podporou.</w:t>
      </w:r>
      <w:r w:rsidRPr="0B3B4056">
        <w:rPr>
          <w:rFonts w:ascii="Century Gothic" w:eastAsia="Century Gothic" w:hAnsi="Century Gothic" w:cs="Century Gothic"/>
          <w:sz w:val="22"/>
          <w:szCs w:val="22"/>
        </w:rPr>
        <w:t>”</w:t>
      </w:r>
    </w:p>
    <w:p w14:paraId="4D31AB1E" w14:textId="2DB6897D" w:rsidR="00D33130" w:rsidRDefault="32AF9806" w:rsidP="004445BF">
      <w:pPr>
        <w:spacing w:before="240" w:line="240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</w:pPr>
      <w:r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Čestná Cena za přínos knižní kultuře</w:t>
      </w:r>
    </w:p>
    <w:p w14:paraId="566CCF02" w14:textId="7DA78F8C" w:rsidR="00D33130" w:rsidRDefault="046FEA3D" w:rsidP="0B3B4056">
      <w:pPr>
        <w:spacing w:line="240" w:lineRule="auto"/>
        <w:jc w:val="both"/>
        <w:rPr>
          <w:rStyle w:val="normaltextrun"/>
          <w:rFonts w:ascii="Century Gothic" w:eastAsia="Century Gothic" w:hAnsi="Century Gothic" w:cs="Century Gothic"/>
          <w:color w:val="000000" w:themeColor="text1"/>
        </w:rPr>
      </w:pPr>
      <w:r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Uznání za dlouholetou práci a mimořádný přínos české literární scéně, zejména za založení a rozvoj prestižního mezinárodního veletrhu Svět knihy získali Dana Kalinová, Jan </w:t>
      </w:r>
      <w:proofErr w:type="spellStart"/>
      <w:r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>Kanzelsberger</w:t>
      </w:r>
      <w:proofErr w:type="spellEnd"/>
      <w:r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a Ivo Železný. </w:t>
      </w:r>
      <w:r w:rsidR="55D92DE7"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>Cena za přínos knižní ku</w:t>
      </w:r>
      <w:r w:rsidR="41754F2C"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>l</w:t>
      </w:r>
      <w:r w:rsidR="55D92DE7"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>tuře</w:t>
      </w:r>
      <w:r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oceňuje aktivity vedoucí k podpoře a popularizaci literatury. O udělení ceny rozhodují přímo členové pořádajícího spolku Litera. </w:t>
      </w:r>
    </w:p>
    <w:p w14:paraId="778775A1" w14:textId="248C0ADE" w:rsidR="00D33130" w:rsidRDefault="046FEA3D" w:rsidP="0B3B4056">
      <w:pPr>
        <w:spacing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B3B4056">
        <w:rPr>
          <w:rStyle w:val="normaltextrun"/>
          <w:rFonts w:ascii="Century Gothic" w:eastAsia="Century Gothic" w:hAnsi="Century Gothic" w:cs="Century Gothic"/>
          <w:i/>
          <w:iCs/>
          <w:color w:val="000000" w:themeColor="text1"/>
        </w:rPr>
        <w:t xml:space="preserve">„Letos uplyne třicet let od prvního pražského veletrhu a literárního festivalu Svět knihy. U jeho založení stáli knihkupec Jan </w:t>
      </w:r>
      <w:proofErr w:type="spellStart"/>
      <w:r w:rsidRPr="0B3B4056">
        <w:rPr>
          <w:rStyle w:val="normaltextrun"/>
          <w:rFonts w:ascii="Century Gothic" w:eastAsia="Century Gothic" w:hAnsi="Century Gothic" w:cs="Century Gothic"/>
          <w:i/>
          <w:iCs/>
          <w:color w:val="000000" w:themeColor="text1"/>
        </w:rPr>
        <w:t>Kanzelsberger</w:t>
      </w:r>
      <w:proofErr w:type="spellEnd"/>
      <w:r w:rsidRPr="0B3B4056">
        <w:rPr>
          <w:rStyle w:val="normaltextrun"/>
          <w:rFonts w:ascii="Century Gothic" w:eastAsia="Century Gothic" w:hAnsi="Century Gothic" w:cs="Century Gothic"/>
          <w:i/>
          <w:iCs/>
          <w:color w:val="000000" w:themeColor="text1"/>
        </w:rPr>
        <w:t>, který myšlenku veletrhu prosadil, a nakladatel Ivo Železný, který vymyslel jeho název. A jeho první a pak dlouholetou ředitelkou byla Dana Kalinová. Proto se spolek Litera rozhodl společně ocenit všechny tři,”</w:t>
      </w:r>
      <w:r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</w:t>
      </w:r>
      <w:r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 xml:space="preserve">uvedl Pavel </w:t>
      </w:r>
      <w:proofErr w:type="spellStart"/>
      <w:r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Mandys</w:t>
      </w:r>
      <w:proofErr w:type="spellEnd"/>
      <w:r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 xml:space="preserve"> za pořádající spolek Litera.</w:t>
      </w:r>
    </w:p>
    <w:p w14:paraId="0AEB6DF0" w14:textId="273F47C5" w:rsidR="00D33130" w:rsidRDefault="046FEA3D" w:rsidP="0B3B4056">
      <w:pPr>
        <w:spacing w:line="240" w:lineRule="auto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>„</w:t>
      </w:r>
      <w:r w:rsidRPr="0B3B4056">
        <w:rPr>
          <w:rStyle w:val="normaltextrun"/>
          <w:rFonts w:ascii="Century Gothic" w:eastAsia="Century Gothic" w:hAnsi="Century Gothic" w:cs="Century Gothic"/>
          <w:i/>
          <w:iCs/>
          <w:color w:val="000000" w:themeColor="text1"/>
        </w:rPr>
        <w:t>Už 24 let jsme hrdým partnerem cen Magnesia Litera, které vyzdvihují to nejlepší z českého literárního světa. Těší nás, že ocenění letos získali ti, kteří pomohli české literatuře stát se viditelnou, živou a mezinárodní. Svět knihy je toho nejlepším důkazem – je to prostor, kde se literatura stává sdíleným zážitkem</w:t>
      </w:r>
      <w:r w:rsidR="43848C47" w:rsidRPr="0B3B4056">
        <w:rPr>
          <w:rStyle w:val="normaltextrun"/>
          <w:rFonts w:ascii="Century Gothic" w:eastAsia="Century Gothic" w:hAnsi="Century Gothic" w:cs="Century Gothic"/>
          <w:i/>
          <w:iCs/>
          <w:color w:val="000000" w:themeColor="text1"/>
        </w:rPr>
        <w:t>,</w:t>
      </w:r>
      <w:r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“ </w:t>
      </w:r>
      <w:r w:rsidR="23C9DB87"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doplnila </w:t>
      </w:r>
      <w:r w:rsidR="23C9DB87"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Vladimíra Procházková.</w:t>
      </w:r>
    </w:p>
    <w:p w14:paraId="60F3D5C3" w14:textId="385CB9FE" w:rsidR="0D3696A0" w:rsidRDefault="0D3696A0" w:rsidP="1FB0356D">
      <w:pPr>
        <w:shd w:val="clear" w:color="auto" w:fill="FFFFFF" w:themeFill="background1"/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FB0356D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V loňském roce Cenu za přínos knižní kultuře obdržel Tomáš T. Kůs, který se jako organizátor a producent dlouhodobě zasazuje o rozvoj české slam </w:t>
      </w:r>
      <w:proofErr w:type="spellStart"/>
      <w:r w:rsidRPr="1FB0356D">
        <w:rPr>
          <w:rStyle w:val="normaltextrun"/>
          <w:rFonts w:ascii="Century Gothic" w:eastAsia="Century Gothic" w:hAnsi="Century Gothic" w:cs="Century Gothic"/>
          <w:color w:val="000000" w:themeColor="text1"/>
        </w:rPr>
        <w:t>poetry</w:t>
      </w:r>
      <w:proofErr w:type="spellEnd"/>
      <w:r w:rsidRPr="1FB0356D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– soutěžního performativního formátu na pomezí poezie a divadla.</w:t>
      </w:r>
    </w:p>
    <w:p w14:paraId="34753E82" w14:textId="396C67D5" w:rsidR="10880AB7" w:rsidRDefault="10880AB7" w:rsidP="004445BF">
      <w:pPr>
        <w:spacing w:before="240" w:line="240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</w:pPr>
      <w:r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Tři dekády Světa knihy</w:t>
      </w:r>
    </w:p>
    <w:p w14:paraId="773215B8" w14:textId="6F0D965D" w:rsidR="00D33130" w:rsidRDefault="046FEA3D" w:rsidP="0B3B4056">
      <w:pPr>
        <w:shd w:val="clear" w:color="auto" w:fill="FFFFFF" w:themeFill="background1"/>
        <w:spacing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B3B4056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>Dana Kalinová</w:t>
      </w:r>
      <w:r w:rsidRPr="0B3B4056">
        <w:rPr>
          <w:rStyle w:val="normaltextrun"/>
          <w:rFonts w:ascii="Century Gothic" w:eastAsia="Century Gothic" w:hAnsi="Century Gothic" w:cs="Century Gothic"/>
          <w:color w:val="000000" w:themeColor="text1"/>
        </w:rPr>
        <w:t xml:space="preserve"> stála v čele festivalu Svět knihy přes dvacet let a významně přispěla k jeho mezinárodnímu uznání. Za přínos literatuře získala v roce 2017 od španělského krále Řád Isabely Katolické. </w:t>
      </w:r>
      <w:r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Jan </w:t>
      </w:r>
      <w:proofErr w:type="spellStart"/>
      <w:r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Kanzelsberger</w:t>
      </w:r>
      <w:proofErr w:type="spellEnd"/>
      <w:r w:rsidRPr="0B3B4056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je nejen spoluzakladatelem festivalu, ale také významnou postavou českého knižního trhu – vybudoval největší síť knihkupectví v zemi a aktivně se podílel i na vzniku literární ceny Magnesia Litera. </w:t>
      </w:r>
      <w:r w:rsidRPr="0B3B4056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Ivo Železný</w:t>
      </w:r>
      <w:r w:rsidRPr="0B3B4056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jako překladatel, nakladatel a propagátor science fiction zásadně ovlivnil rozvoj tohoto žánru v Česku. </w:t>
      </w:r>
    </w:p>
    <w:p w14:paraId="56A633B8" w14:textId="0314FF73" w:rsidR="00D33130" w:rsidRDefault="046FEA3D" w:rsidP="7C3607CF">
      <w:pPr>
        <w:shd w:val="clear" w:color="auto" w:fill="FFFFFF" w:themeFill="background1"/>
        <w:spacing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7C3607CF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Kalinová, </w:t>
      </w:r>
      <w:proofErr w:type="spellStart"/>
      <w:r w:rsidRPr="7C3607CF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Kanzelsberger</w:t>
      </w:r>
      <w:proofErr w:type="spellEnd"/>
      <w:r w:rsidRPr="7C3607CF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a Železný stáli v roce 1995 u zrodu dnes nejvýznamnějšího literárního veletrhu v České republice, který letos slaví jubilejní 30. ročník. </w:t>
      </w:r>
      <w:r w:rsidRPr="7C3607CF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Svět knihy </w:t>
      </w:r>
      <w:r w:rsidRPr="7C3607CF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dlouhodobě patří k největším literárním akcím ve střední Evropě a každoročně přivádí na pražské Výstaviště desítky tisíc návštěvníků. Kromě hlavního programu v metropoli se postupně rozšířil i do dalších měst a stal se klíčovou platformou pro setkávání autorů, nakladatelů a čtenářů.</w:t>
      </w:r>
    </w:p>
    <w:p w14:paraId="36F47CFE" w14:textId="317C0C5E" w:rsidR="00D33130" w:rsidRDefault="046FEA3D" w:rsidP="7C3607CF">
      <w:pPr>
        <w:spacing w:after="0" w:line="240" w:lineRule="auto"/>
        <w:jc w:val="both"/>
        <w:rPr>
          <w:rStyle w:val="eop"/>
          <w:rFonts w:ascii="Century Gothic" w:eastAsia="Century Gothic" w:hAnsi="Century Gothic" w:cs="Century Gothic"/>
          <w:color w:val="000000" w:themeColor="text1"/>
        </w:rPr>
      </w:pPr>
      <w:r w:rsidRPr="7C3607CF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</w:rPr>
        <w:t xml:space="preserve">Kompletní výsledky 24. ročníku Magnesia Litera naleznete na </w:t>
      </w:r>
      <w:hyperlink r:id="rId10">
        <w:r w:rsidRPr="7C3607CF">
          <w:rPr>
            <w:rStyle w:val="Hyperlink"/>
            <w:rFonts w:ascii="Century Gothic" w:eastAsia="Century Gothic" w:hAnsi="Century Gothic" w:cs="Century Gothic"/>
            <w:b/>
            <w:bCs/>
            <w:sz w:val="22"/>
            <w:szCs w:val="22"/>
          </w:rPr>
          <w:t>www.magnesia-litera.cz</w:t>
        </w:r>
      </w:hyperlink>
      <w:r w:rsidRPr="7C3607CF">
        <w:rPr>
          <w:rStyle w:val="eop"/>
          <w:rFonts w:ascii="Century Gothic" w:eastAsia="Century Gothic" w:hAnsi="Century Gothic" w:cs="Century Gothic"/>
          <w:color w:val="000000" w:themeColor="text1"/>
        </w:rPr>
        <w:t>.</w:t>
      </w:r>
    </w:p>
    <w:p w14:paraId="5F4386BA" w14:textId="77777777" w:rsidR="00717570" w:rsidRDefault="00717570" w:rsidP="004445BF">
      <w:pPr>
        <w:spacing w:line="240" w:lineRule="auto"/>
        <w:jc w:val="both"/>
        <w:rPr>
          <w:rStyle w:val="eop"/>
          <w:rFonts w:ascii="Century Gothic" w:eastAsia="Century Gothic" w:hAnsi="Century Gothic" w:cs="Century Gothic"/>
          <w:color w:val="000000" w:themeColor="text1"/>
        </w:rPr>
      </w:pPr>
    </w:p>
    <w:p w14:paraId="48D79280" w14:textId="77777777" w:rsidR="00717570" w:rsidRPr="00717570" w:rsidRDefault="00717570" w:rsidP="0071757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00717570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Cena Magnesia za přínos knižní kultuře</w:t>
      </w:r>
      <w:r w:rsidRPr="00717570">
        <w:rPr>
          <w:rFonts w:ascii="Arial" w:eastAsia="Century Gothic" w:hAnsi="Arial" w:cs="Arial"/>
          <w:color w:val="000000" w:themeColor="text1"/>
          <w:sz w:val="18"/>
          <w:szCs w:val="18"/>
        </w:rPr>
        <w:t> 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111C0EF8" w14:textId="77777777" w:rsidR="00717570" w:rsidRPr="00717570" w:rsidRDefault="00717570" w:rsidP="0071757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Ocenění získává fyzická či právnická osoba za významnou aktivitu směřující k podpoře a popularizaci literatury a kultivaci čtenářství. Cena nemá porotu ani nominace, o jejím vítězi rozhodují svým hlasováním členové spolku Litera. Kandidáty na toto ocenění navrhují členové spolku Litera.</w:t>
      </w:r>
      <w:r w:rsidRPr="00717570">
        <w:rPr>
          <w:rFonts w:ascii="Arial" w:eastAsia="Century Gothic" w:hAnsi="Arial" w:cs="Arial"/>
          <w:color w:val="000000" w:themeColor="text1"/>
          <w:sz w:val="18"/>
          <w:szCs w:val="18"/>
        </w:rPr>
        <w:t> 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7C770B18" w14:textId="77777777" w:rsidR="00717570" w:rsidRPr="00717570" w:rsidRDefault="00717570" w:rsidP="0071757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7DF19119" w14:textId="77777777" w:rsidR="00717570" w:rsidRPr="00717570" w:rsidRDefault="00717570" w:rsidP="0071757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00717570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O minerální vodě Magnesia</w:t>
      </w:r>
      <w:r w:rsidRPr="00717570">
        <w:rPr>
          <w:rFonts w:ascii="Arial" w:eastAsia="Century Gothic" w:hAnsi="Arial" w:cs="Arial"/>
          <w:color w:val="000000" w:themeColor="text1"/>
          <w:sz w:val="18"/>
          <w:szCs w:val="18"/>
        </w:rPr>
        <w:t> 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3758762D" w14:textId="77777777" w:rsidR="00717570" w:rsidRPr="00717570" w:rsidRDefault="00717570" w:rsidP="0071757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proofErr w:type="gramStart"/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Magnesia</w:t>
      </w:r>
      <w:proofErr w:type="gramEnd"/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je přírodní středně mineralizovaná voda se značným obsahem hořčíku a nízkým obsahem sodíku. Pramení ve Slavkovském lese a čerpá se z</w:t>
      </w:r>
      <w:r w:rsidRPr="00717570">
        <w:rPr>
          <w:rFonts w:ascii="Arial" w:eastAsia="Century Gothic" w:hAnsi="Arial" w:cs="Arial"/>
          <w:color w:val="000000" w:themeColor="text1"/>
          <w:sz w:val="18"/>
          <w:szCs w:val="18"/>
        </w:rPr>
        <w:t> 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přírodního zdroje z</w:t>
      </w:r>
      <w:r w:rsidRPr="00717570">
        <w:rPr>
          <w:rFonts w:ascii="Arial" w:eastAsia="Century Gothic" w:hAnsi="Arial" w:cs="Arial"/>
          <w:color w:val="000000" w:themeColor="text1"/>
          <w:sz w:val="18"/>
          <w:szCs w:val="18"/>
        </w:rPr>
        <w:t> 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hloubky 100 metrů. Je vhodná na pravidelnou konzumaci bez omezení. K dostání je v přírodní neperlivé, jemně perlivé i perlivé variantě. Oblíbené jsou i ochucené varianty řady Magnesia RED s</w:t>
      </w:r>
      <w:r w:rsidRPr="00717570">
        <w:rPr>
          <w:rFonts w:ascii="Arial" w:eastAsia="Century Gothic" w:hAnsi="Arial" w:cs="Arial"/>
          <w:color w:val="000000" w:themeColor="text1"/>
          <w:sz w:val="18"/>
          <w:szCs w:val="18"/>
        </w:rPr>
        <w:t> 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vitaminy B. Více na </w:t>
      </w:r>
      <w:hyperlink r:id="rId11" w:tgtFrame="_blank" w:history="1">
        <w:r w:rsidRPr="00717570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www.magnesia.cz</w:t>
        </w:r>
      </w:hyperlink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.</w:t>
      </w:r>
      <w:r w:rsidRPr="00717570">
        <w:rPr>
          <w:rFonts w:ascii="Arial" w:eastAsia="Century Gothic" w:hAnsi="Arial" w:cs="Arial"/>
          <w:color w:val="000000" w:themeColor="text1"/>
          <w:sz w:val="18"/>
          <w:szCs w:val="18"/>
        </w:rPr>
        <w:t>   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57BA6D32" w14:textId="77777777" w:rsidR="00717570" w:rsidRPr="00717570" w:rsidRDefault="00717570" w:rsidP="0071757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00717570">
        <w:rPr>
          <w:rFonts w:ascii="Arial" w:eastAsia="Century Gothic" w:hAnsi="Arial" w:cs="Arial"/>
          <w:color w:val="000000" w:themeColor="text1"/>
          <w:sz w:val="18"/>
          <w:szCs w:val="18"/>
        </w:rPr>
        <w:t> 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25FBF0A1" w14:textId="75D2AB55" w:rsidR="00717570" w:rsidRPr="00717570" w:rsidRDefault="00717570" w:rsidP="005E4370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00717570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Kontakt: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br/>
        <w:t>Monika Matulová</w:t>
      </w:r>
      <w:r w:rsidRPr="00717570">
        <w:rPr>
          <w:rFonts w:ascii="Arial" w:eastAsia="Century Gothic" w:hAnsi="Arial" w:cs="Arial"/>
          <w:color w:val="000000" w:themeColor="text1"/>
          <w:sz w:val="18"/>
          <w:szCs w:val="18"/>
        </w:rPr>
        <w:t> 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br/>
        <w:t xml:space="preserve">E-mail: </w:t>
      </w:r>
      <w:hyperlink r:id="rId12" w:tgtFrame="_blank" w:history="1">
        <w:r w:rsidRPr="00717570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monika.matulova@amic.cz</w:t>
        </w:r>
      </w:hyperlink>
      <w:r w:rsidRPr="00717570">
        <w:rPr>
          <w:rFonts w:ascii="Arial" w:eastAsia="Century Gothic" w:hAnsi="Arial" w:cs="Arial"/>
          <w:color w:val="000000" w:themeColor="text1"/>
          <w:sz w:val="18"/>
          <w:szCs w:val="18"/>
        </w:rPr>
        <w:t> 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br/>
        <w:t>Telefon: (+420) 602 679 576</w:t>
      </w:r>
      <w:r w:rsidRPr="00717570">
        <w:rPr>
          <w:rFonts w:ascii="Arial" w:eastAsia="Century Gothic" w:hAnsi="Arial" w:cs="Arial"/>
          <w:color w:val="000000" w:themeColor="text1"/>
          <w:sz w:val="18"/>
          <w:szCs w:val="18"/>
        </w:rPr>
        <w:t> </w:t>
      </w:r>
      <w:r w:rsidRPr="00717570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 </w:t>
      </w:r>
    </w:p>
    <w:p w14:paraId="4D4B25AE" w14:textId="77777777" w:rsidR="00717570" w:rsidRPr="00717570" w:rsidRDefault="00717570" w:rsidP="00717570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0717570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 </w:t>
      </w:r>
    </w:p>
    <w:p w14:paraId="33316E3A" w14:textId="77777777" w:rsidR="00717570" w:rsidRDefault="00717570" w:rsidP="7C3607CF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075E9EEA" w14:textId="7DDB3B7F" w:rsidR="00D33130" w:rsidRDefault="00D33130"/>
    <w:sectPr w:rsidR="00D3313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08AE" w14:textId="77777777" w:rsidR="00037E40" w:rsidRDefault="00037E40" w:rsidP="00110C3E">
      <w:pPr>
        <w:spacing w:after="0" w:line="240" w:lineRule="auto"/>
      </w:pPr>
      <w:r>
        <w:separator/>
      </w:r>
    </w:p>
  </w:endnote>
  <w:endnote w:type="continuationSeparator" w:id="0">
    <w:p w14:paraId="0065CC62" w14:textId="77777777" w:rsidR="00037E40" w:rsidRDefault="00037E40" w:rsidP="00110C3E">
      <w:pPr>
        <w:spacing w:after="0" w:line="240" w:lineRule="auto"/>
      </w:pPr>
      <w:r>
        <w:continuationSeparator/>
      </w:r>
    </w:p>
  </w:endnote>
  <w:endnote w:type="continuationNotice" w:id="1">
    <w:p w14:paraId="3223BE16" w14:textId="77777777" w:rsidR="00037E40" w:rsidRDefault="00037E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B411B3" w14:paraId="619D4E55" w14:textId="77777777" w:rsidTr="40B411B3">
      <w:trPr>
        <w:trHeight w:val="300"/>
      </w:trPr>
      <w:tc>
        <w:tcPr>
          <w:tcW w:w="3005" w:type="dxa"/>
        </w:tcPr>
        <w:p w14:paraId="30545599" w14:textId="1C01199C" w:rsidR="40B411B3" w:rsidRDefault="40B411B3" w:rsidP="40B411B3">
          <w:pPr>
            <w:pStyle w:val="Revision"/>
            <w:ind w:left="-115"/>
          </w:pPr>
        </w:p>
      </w:tc>
      <w:tc>
        <w:tcPr>
          <w:tcW w:w="3005" w:type="dxa"/>
        </w:tcPr>
        <w:p w14:paraId="1595E6EA" w14:textId="0C88B5C9" w:rsidR="40B411B3" w:rsidRDefault="40B411B3" w:rsidP="40B411B3">
          <w:pPr>
            <w:pStyle w:val="Revision"/>
            <w:jc w:val="center"/>
          </w:pPr>
        </w:p>
      </w:tc>
      <w:tc>
        <w:tcPr>
          <w:tcW w:w="3005" w:type="dxa"/>
        </w:tcPr>
        <w:p w14:paraId="698DFD49" w14:textId="706C5CB0" w:rsidR="40B411B3" w:rsidRDefault="40B411B3" w:rsidP="40B411B3">
          <w:pPr>
            <w:pStyle w:val="Revision"/>
            <w:ind w:right="-115"/>
            <w:jc w:val="right"/>
          </w:pPr>
        </w:p>
      </w:tc>
    </w:tr>
  </w:tbl>
  <w:p w14:paraId="7E42761D" w14:textId="386D328D" w:rsidR="00110C3E" w:rsidRDefault="00110C3E">
    <w:pPr>
      <w:pStyle w:val="HeaderCha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5053" w14:textId="77777777" w:rsidR="00037E40" w:rsidRDefault="00037E40" w:rsidP="00110C3E">
      <w:pPr>
        <w:spacing w:after="0" w:line="240" w:lineRule="auto"/>
      </w:pPr>
      <w:r>
        <w:separator/>
      </w:r>
    </w:p>
  </w:footnote>
  <w:footnote w:type="continuationSeparator" w:id="0">
    <w:p w14:paraId="4238F8A5" w14:textId="77777777" w:rsidR="00037E40" w:rsidRDefault="00037E40" w:rsidP="00110C3E">
      <w:pPr>
        <w:spacing w:after="0" w:line="240" w:lineRule="auto"/>
      </w:pPr>
      <w:r>
        <w:continuationSeparator/>
      </w:r>
    </w:p>
  </w:footnote>
  <w:footnote w:type="continuationNotice" w:id="1">
    <w:p w14:paraId="1EEC468F" w14:textId="77777777" w:rsidR="00037E40" w:rsidRDefault="00037E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B411B3" w14:paraId="56DB421E" w14:textId="77777777" w:rsidTr="40B411B3">
      <w:trPr>
        <w:trHeight w:val="300"/>
      </w:trPr>
      <w:tc>
        <w:tcPr>
          <w:tcW w:w="3005" w:type="dxa"/>
        </w:tcPr>
        <w:p w14:paraId="24FA71DC" w14:textId="016AC9E7" w:rsidR="40B411B3" w:rsidRDefault="40B411B3" w:rsidP="40B411B3">
          <w:pPr>
            <w:pStyle w:val="Revision"/>
            <w:ind w:left="-115"/>
          </w:pPr>
        </w:p>
      </w:tc>
      <w:tc>
        <w:tcPr>
          <w:tcW w:w="3005" w:type="dxa"/>
        </w:tcPr>
        <w:p w14:paraId="00473B48" w14:textId="548156C2" w:rsidR="40B411B3" w:rsidRDefault="40B411B3" w:rsidP="40B411B3">
          <w:pPr>
            <w:jc w:val="center"/>
          </w:pPr>
          <w:r>
            <w:rPr>
              <w:noProof/>
            </w:rPr>
            <w:drawing>
              <wp:inline distT="0" distB="0" distL="0" distR="0" wp14:anchorId="56E68DBE" wp14:editId="6925CA6F">
                <wp:extent cx="1762125" cy="628650"/>
                <wp:effectExtent l="0" t="0" r="0" b="0"/>
                <wp:docPr id="1588444619" name="Picture 1588444619" descr="Obráz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68D5D5AF" w14:textId="163F91A0" w:rsidR="40B411B3" w:rsidRDefault="40B411B3" w:rsidP="40B411B3">
          <w:pPr>
            <w:pStyle w:val="Revision"/>
            <w:ind w:right="-115"/>
            <w:jc w:val="right"/>
          </w:pPr>
        </w:p>
      </w:tc>
    </w:tr>
  </w:tbl>
  <w:p w14:paraId="73932CCC" w14:textId="569E674D" w:rsidR="00110C3E" w:rsidRDefault="00110C3E">
    <w:pPr>
      <w:pStyle w:val="Revis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8D212B"/>
    <w:rsid w:val="00037E40"/>
    <w:rsid w:val="0007131E"/>
    <w:rsid w:val="00086AC7"/>
    <w:rsid w:val="00110C3E"/>
    <w:rsid w:val="001738A0"/>
    <w:rsid w:val="00203E0C"/>
    <w:rsid w:val="002367AF"/>
    <w:rsid w:val="002506BD"/>
    <w:rsid w:val="002E1B03"/>
    <w:rsid w:val="00417DB2"/>
    <w:rsid w:val="004445BF"/>
    <w:rsid w:val="00494734"/>
    <w:rsid w:val="005E4370"/>
    <w:rsid w:val="005E6F00"/>
    <w:rsid w:val="00717570"/>
    <w:rsid w:val="00733AFD"/>
    <w:rsid w:val="008CB8B1"/>
    <w:rsid w:val="00977C98"/>
    <w:rsid w:val="00B11FE1"/>
    <w:rsid w:val="00BF4F79"/>
    <w:rsid w:val="00D33130"/>
    <w:rsid w:val="00F544DC"/>
    <w:rsid w:val="00FA25F5"/>
    <w:rsid w:val="00FA75B1"/>
    <w:rsid w:val="046FEA3D"/>
    <w:rsid w:val="06F24358"/>
    <w:rsid w:val="07D5922E"/>
    <w:rsid w:val="0AFD520C"/>
    <w:rsid w:val="0B3B4056"/>
    <w:rsid w:val="0BE98EB0"/>
    <w:rsid w:val="0D3696A0"/>
    <w:rsid w:val="0DE5D35D"/>
    <w:rsid w:val="0E37BA29"/>
    <w:rsid w:val="106B6E2D"/>
    <w:rsid w:val="10880AB7"/>
    <w:rsid w:val="1270E691"/>
    <w:rsid w:val="135F1791"/>
    <w:rsid w:val="13BC0A3D"/>
    <w:rsid w:val="1775547B"/>
    <w:rsid w:val="1AD5DB37"/>
    <w:rsid w:val="1CB5B18D"/>
    <w:rsid w:val="1DBC2B81"/>
    <w:rsid w:val="1FB0356D"/>
    <w:rsid w:val="220794EC"/>
    <w:rsid w:val="23C9DB87"/>
    <w:rsid w:val="26B907D9"/>
    <w:rsid w:val="2C1D5333"/>
    <w:rsid w:val="2EB5F6A6"/>
    <w:rsid w:val="3077B12B"/>
    <w:rsid w:val="31A3A8F1"/>
    <w:rsid w:val="32AF9806"/>
    <w:rsid w:val="33B47174"/>
    <w:rsid w:val="376C6FFA"/>
    <w:rsid w:val="3831788B"/>
    <w:rsid w:val="3A5DC1B0"/>
    <w:rsid w:val="3F10DA49"/>
    <w:rsid w:val="40B411B3"/>
    <w:rsid w:val="415CD1A2"/>
    <w:rsid w:val="41754F2C"/>
    <w:rsid w:val="43848C47"/>
    <w:rsid w:val="4689F862"/>
    <w:rsid w:val="4A8D212B"/>
    <w:rsid w:val="501CF1E2"/>
    <w:rsid w:val="517CA8D6"/>
    <w:rsid w:val="52CC85E0"/>
    <w:rsid w:val="53A12F32"/>
    <w:rsid w:val="55D92DE7"/>
    <w:rsid w:val="56609E34"/>
    <w:rsid w:val="5956D12A"/>
    <w:rsid w:val="5AFF57B1"/>
    <w:rsid w:val="606E8516"/>
    <w:rsid w:val="632CB23E"/>
    <w:rsid w:val="6CAF77DC"/>
    <w:rsid w:val="6E33B368"/>
    <w:rsid w:val="6F35777F"/>
    <w:rsid w:val="70E10432"/>
    <w:rsid w:val="71319868"/>
    <w:rsid w:val="71E0E499"/>
    <w:rsid w:val="77CFC01C"/>
    <w:rsid w:val="7846BE65"/>
    <w:rsid w:val="7958F270"/>
    <w:rsid w:val="7A5D605D"/>
    <w:rsid w:val="7C3607CF"/>
    <w:rsid w:val="7D3CC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73E3"/>
  <w15:chartTrackingRefBased/>
  <w15:docId w15:val="{9E3CA75D-86AC-4BF4-86F2-401D4797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7C3607CF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7C3607CF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7C3607CF"/>
    <w:rPr>
      <w:color w:val="467886"/>
      <w:u w:val="single"/>
    </w:rPr>
  </w:style>
  <w:style w:type="paragraph" w:styleId="Revision">
    <w:name w:val="Revision"/>
    <w:hidden/>
    <w:uiPriority w:val="99"/>
    <w:semiHidden/>
    <w:rsid w:val="00110C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6BD"/>
  </w:style>
  <w:style w:type="paragraph" w:styleId="Footer">
    <w:name w:val="footer"/>
    <w:basedOn w:val="Normal"/>
    <w:link w:val="FooterChar"/>
    <w:uiPriority w:val="99"/>
    <w:unhideWhenUsed/>
    <w:rsid w:val="002506BD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59"/>
    <w:rsid w:val="00110C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semiHidden/>
    <w:rsid w:val="002506BD"/>
  </w:style>
  <w:style w:type="character" w:styleId="UnresolvedMention">
    <w:name w:val="Unresolved Mention"/>
    <w:basedOn w:val="DefaultParagraphFont"/>
    <w:uiPriority w:val="99"/>
    <w:semiHidden/>
    <w:unhideWhenUsed/>
    <w:rsid w:val="00717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nika.matulova@amic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gnesia.cz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gnesia-litera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5ccabd1344eb30759988431d93aeab49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f2520019f458f5a153b208b9e62d1c40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DB46CC6F-A8FF-493C-AFC5-5BEB105A0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D490E-EDCF-4B77-B480-BAA17D4AC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AD3FC-393A-4C29-AC9B-A7FC87B1BB63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763</Words>
  <Characters>4353</Characters>
  <Application>Microsoft Office Word</Application>
  <DocSecurity>4</DocSecurity>
  <Lines>36</Lines>
  <Paragraphs>10</Paragraphs>
  <ScaleCrop>false</ScaleCrop>
  <Company/>
  <LinksUpToDate>false</LinksUpToDate>
  <CharactersWithSpaces>5106</CharactersWithSpaces>
  <SharedDoc>false</SharedDoc>
  <HLinks>
    <vt:vector size="18" baseType="variant">
      <vt:variant>
        <vt:i4>6422531</vt:i4>
      </vt:variant>
      <vt:variant>
        <vt:i4>6</vt:i4>
      </vt:variant>
      <vt:variant>
        <vt:i4>0</vt:i4>
      </vt:variant>
      <vt:variant>
        <vt:i4>5</vt:i4>
      </vt:variant>
      <vt:variant>
        <vt:lpwstr>mailto:monika.matulova@amic.cz</vt:lpwstr>
      </vt:variant>
      <vt:variant>
        <vt:lpwstr/>
      </vt:variant>
      <vt:variant>
        <vt:i4>7929902</vt:i4>
      </vt:variant>
      <vt:variant>
        <vt:i4>3</vt:i4>
      </vt:variant>
      <vt:variant>
        <vt:i4>0</vt:i4>
      </vt:variant>
      <vt:variant>
        <vt:i4>5</vt:i4>
      </vt:variant>
      <vt:variant>
        <vt:lpwstr>http://www.magnesia.cz/</vt:lpwstr>
      </vt:variant>
      <vt:variant>
        <vt:lpwstr/>
      </vt:variant>
      <vt:variant>
        <vt:i4>2162803</vt:i4>
      </vt:variant>
      <vt:variant>
        <vt:i4>0</vt:i4>
      </vt:variant>
      <vt:variant>
        <vt:i4>0</vt:i4>
      </vt:variant>
      <vt:variant>
        <vt:i4>5</vt:i4>
      </vt:variant>
      <vt:variant>
        <vt:lpwstr>http://www.magnesia-litera.cz/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Krušinová Karolína</dc:creator>
  <cp:keywords/>
  <dc:description/>
  <cp:lastModifiedBy>Krušinová Karolína</cp:lastModifiedBy>
  <cp:revision>6</cp:revision>
  <dcterms:created xsi:type="dcterms:W3CDTF">2025-04-24T11:33:00Z</dcterms:created>
  <dcterms:modified xsi:type="dcterms:W3CDTF">2025-04-24T12:35:00Z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