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5D17" w14:textId="2A7784BD" w:rsidR="00643FAB" w:rsidRPr="00422242" w:rsidRDefault="00643FAB" w:rsidP="00FB5FBF">
      <w:pPr>
        <w:spacing w:line="276" w:lineRule="auto"/>
        <w:rPr>
          <w:rFonts w:ascii="Aptos" w:hAnsi="Aptos" w:cs="Arial"/>
          <w:sz w:val="22"/>
          <w:szCs w:val="22"/>
        </w:rPr>
      </w:pPr>
    </w:p>
    <w:p w14:paraId="65289950" w14:textId="3BEFF8BC" w:rsidR="00983EBF" w:rsidRDefault="00983EBF" w:rsidP="00983EBF">
      <w:pPr>
        <w:spacing w:line="276" w:lineRule="auto"/>
        <w:rPr>
          <w:rFonts w:cstheme="minorHAnsi"/>
          <w:sz w:val="22"/>
          <w:szCs w:val="22"/>
        </w:rPr>
      </w:pPr>
      <w:r w:rsidRPr="00AD45C6">
        <w:rPr>
          <w:rFonts w:cstheme="minorHAnsi"/>
          <w:i/>
          <w:iCs/>
          <w:sz w:val="22"/>
          <w:szCs w:val="22"/>
        </w:rPr>
        <w:t xml:space="preserve">Informacja prasowa </w:t>
      </w:r>
      <w:r>
        <w:rPr>
          <w:rFonts w:cstheme="minorHAnsi"/>
          <w:i/>
          <w:iCs/>
          <w:sz w:val="22"/>
          <w:szCs w:val="22"/>
        </w:rPr>
        <w:t xml:space="preserve">                              </w:t>
      </w:r>
      <w:r>
        <w:rPr>
          <w:rFonts w:cstheme="minorHAnsi"/>
          <w:sz w:val="22"/>
          <w:szCs w:val="22"/>
        </w:rPr>
        <w:t xml:space="preserve">                                                                                           </w:t>
      </w:r>
      <w:r w:rsidR="00565D92">
        <w:rPr>
          <w:rFonts w:cstheme="minorHAnsi"/>
          <w:sz w:val="22"/>
          <w:szCs w:val="22"/>
        </w:rPr>
        <w:t>12</w:t>
      </w:r>
      <w:r>
        <w:rPr>
          <w:rFonts w:cstheme="minorHAnsi"/>
          <w:sz w:val="22"/>
          <w:szCs w:val="22"/>
        </w:rPr>
        <w:t>.</w:t>
      </w:r>
      <w:r w:rsidR="006F2366">
        <w:rPr>
          <w:rFonts w:cstheme="minorHAnsi"/>
          <w:sz w:val="22"/>
          <w:szCs w:val="22"/>
        </w:rPr>
        <w:t>0</w:t>
      </w:r>
      <w:r w:rsidR="00565D92">
        <w:rPr>
          <w:rFonts w:cstheme="minorHAnsi"/>
          <w:sz w:val="22"/>
          <w:szCs w:val="22"/>
        </w:rPr>
        <w:t>5</w:t>
      </w:r>
      <w:r w:rsidR="006F2366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>202</w:t>
      </w:r>
      <w:r w:rsidR="00565D92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 xml:space="preserve"> r.</w:t>
      </w:r>
    </w:p>
    <w:p w14:paraId="618E7ABC" w14:textId="77777777" w:rsidR="00983EBF" w:rsidRDefault="00983EBF" w:rsidP="00983EBF">
      <w:pPr>
        <w:spacing w:line="276" w:lineRule="auto"/>
        <w:rPr>
          <w:rFonts w:cstheme="minorHAnsi"/>
          <w:sz w:val="22"/>
          <w:szCs w:val="22"/>
        </w:rPr>
      </w:pPr>
    </w:p>
    <w:p w14:paraId="320774FC" w14:textId="584E23C5" w:rsidR="00983EBF" w:rsidRPr="00AD45C6" w:rsidRDefault="00983EBF" w:rsidP="00983EBF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Licznik AFIR: </w:t>
      </w:r>
      <w:r w:rsidR="00565D92">
        <w:rPr>
          <w:rFonts w:cstheme="minorHAnsi"/>
          <w:b/>
          <w:bCs/>
          <w:sz w:val="32"/>
          <w:szCs w:val="32"/>
        </w:rPr>
        <w:t xml:space="preserve">wzrost liczby punktów ładowania wzdłuż </w:t>
      </w:r>
      <w:r w:rsidR="00661A53">
        <w:rPr>
          <w:rFonts w:cstheme="minorHAnsi"/>
          <w:b/>
          <w:bCs/>
          <w:sz w:val="32"/>
          <w:szCs w:val="32"/>
        </w:rPr>
        <w:t xml:space="preserve">sieci TEN-T, ale Polska jest daleko od realizacji celów unijnych </w:t>
      </w:r>
    </w:p>
    <w:p w14:paraId="631FB698" w14:textId="77777777" w:rsidR="00983EBF" w:rsidRDefault="00983EBF" w:rsidP="00983EBF">
      <w:pPr>
        <w:pStyle w:val="Akapitzlist"/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068C8D1A" w14:textId="1342D796" w:rsidR="00D527DE" w:rsidRPr="00D527DE" w:rsidRDefault="00983EBF" w:rsidP="00D527D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PSNM opublikowało najnowsze, zaktualizowane wydanie „Licznika AFIR”</w:t>
      </w:r>
      <w:r w:rsidR="005673C0">
        <w:rPr>
          <w:rFonts w:cstheme="minorHAnsi"/>
          <w:b/>
          <w:bCs/>
          <w:sz w:val="22"/>
          <w:szCs w:val="22"/>
        </w:rPr>
        <w:t>, który prezentuje</w:t>
      </w:r>
      <w:r>
        <w:rPr>
          <w:rFonts w:cstheme="minorHAnsi"/>
          <w:b/>
          <w:bCs/>
          <w:sz w:val="22"/>
          <w:szCs w:val="22"/>
        </w:rPr>
        <w:t xml:space="preserve"> stan wypełnienia przez Polskę </w:t>
      </w:r>
      <w:r w:rsidR="000A5AC3">
        <w:rPr>
          <w:rFonts w:cstheme="minorHAnsi"/>
          <w:b/>
          <w:bCs/>
          <w:sz w:val="22"/>
          <w:szCs w:val="22"/>
        </w:rPr>
        <w:t xml:space="preserve">unijnego rozporządzenia </w:t>
      </w:r>
      <w:r>
        <w:rPr>
          <w:rFonts w:cstheme="minorHAnsi"/>
          <w:b/>
          <w:bCs/>
          <w:sz w:val="22"/>
          <w:szCs w:val="22"/>
        </w:rPr>
        <w:t>AFIR</w:t>
      </w:r>
      <w:r w:rsidR="000A5AC3">
        <w:rPr>
          <w:rFonts w:cstheme="minorHAnsi"/>
          <w:b/>
          <w:bCs/>
          <w:sz w:val="22"/>
          <w:szCs w:val="22"/>
        </w:rPr>
        <w:t>.</w:t>
      </w:r>
      <w:r w:rsidR="00512593">
        <w:rPr>
          <w:rFonts w:cstheme="minorHAnsi"/>
          <w:b/>
          <w:bCs/>
          <w:sz w:val="22"/>
          <w:szCs w:val="22"/>
        </w:rPr>
        <w:t xml:space="preserve"> </w:t>
      </w:r>
    </w:p>
    <w:p w14:paraId="6692FC7F" w14:textId="745C7A3F" w:rsidR="00C42608" w:rsidRDefault="00D527DE" w:rsidP="00983EB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Mimo </w:t>
      </w:r>
      <w:r w:rsidR="005673C0">
        <w:rPr>
          <w:rFonts w:cstheme="minorHAnsi"/>
          <w:b/>
          <w:bCs/>
          <w:sz w:val="22"/>
          <w:szCs w:val="22"/>
        </w:rPr>
        <w:t xml:space="preserve">znacznego </w:t>
      </w:r>
      <w:r>
        <w:rPr>
          <w:rFonts w:cstheme="minorHAnsi"/>
          <w:b/>
          <w:bCs/>
          <w:sz w:val="22"/>
          <w:szCs w:val="22"/>
        </w:rPr>
        <w:t xml:space="preserve">wzrostu liczby stref ładowania dla samochodów osobowych jak i ciężarowych, </w:t>
      </w:r>
      <w:r w:rsidR="008C54BD">
        <w:rPr>
          <w:rFonts w:cstheme="minorHAnsi"/>
          <w:b/>
          <w:bCs/>
          <w:sz w:val="22"/>
          <w:szCs w:val="22"/>
        </w:rPr>
        <w:t>Polska nie zrealizowała obowiązków związanych z rozbudową infrastruktury wzdłuż sieci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8C54BD">
        <w:rPr>
          <w:rFonts w:cstheme="minorHAnsi"/>
          <w:b/>
          <w:bCs/>
          <w:sz w:val="22"/>
          <w:szCs w:val="22"/>
        </w:rPr>
        <w:t>TEN-T, których termin upłynął p</w:t>
      </w:r>
      <w:r w:rsidR="00C42608">
        <w:rPr>
          <w:rFonts w:cstheme="minorHAnsi"/>
          <w:b/>
          <w:bCs/>
          <w:sz w:val="22"/>
          <w:szCs w:val="22"/>
        </w:rPr>
        <w:t xml:space="preserve">od koniec 2025 r. </w:t>
      </w:r>
    </w:p>
    <w:p w14:paraId="6FD1E057" w14:textId="583FBB97" w:rsidR="00D527DE" w:rsidRPr="00BC6923" w:rsidRDefault="00F20A1F" w:rsidP="00BC6923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Biorąc pod uwagę</w:t>
      </w:r>
      <w:r w:rsidR="00D527DE">
        <w:rPr>
          <w:rFonts w:cstheme="minorHAnsi"/>
          <w:b/>
          <w:bCs/>
          <w:sz w:val="22"/>
          <w:szCs w:val="22"/>
        </w:rPr>
        <w:t xml:space="preserve"> aktualną wielkość floty samochodów z napędem elektrycznym</w:t>
      </w:r>
      <w:r w:rsidR="00BC6923">
        <w:rPr>
          <w:rFonts w:cstheme="minorHAnsi"/>
          <w:b/>
          <w:bCs/>
          <w:sz w:val="22"/>
          <w:szCs w:val="22"/>
        </w:rPr>
        <w:t xml:space="preserve"> (BEV+PHEV)</w:t>
      </w:r>
      <w:r w:rsidR="00D527DE">
        <w:rPr>
          <w:rFonts w:cstheme="minorHAnsi"/>
          <w:b/>
          <w:bCs/>
          <w:sz w:val="22"/>
          <w:szCs w:val="22"/>
        </w:rPr>
        <w:t xml:space="preserve">, wynikające z AFIR obowiązki co do minimalnej, łącznej mocy punktów ładowania Polska wypełnia </w:t>
      </w:r>
      <w:r>
        <w:rPr>
          <w:rFonts w:cstheme="minorHAnsi"/>
          <w:b/>
          <w:bCs/>
          <w:sz w:val="22"/>
          <w:szCs w:val="22"/>
        </w:rPr>
        <w:t xml:space="preserve">jednak </w:t>
      </w:r>
      <w:r w:rsidR="00D527DE">
        <w:rPr>
          <w:rFonts w:cstheme="minorHAnsi"/>
          <w:b/>
          <w:bCs/>
          <w:sz w:val="22"/>
          <w:szCs w:val="22"/>
        </w:rPr>
        <w:t>ze znaczną nawiązką</w:t>
      </w:r>
      <w:r w:rsidR="00BC6923">
        <w:rPr>
          <w:rFonts w:cstheme="minorHAnsi"/>
          <w:b/>
          <w:bCs/>
          <w:sz w:val="22"/>
          <w:szCs w:val="22"/>
        </w:rPr>
        <w:t xml:space="preserve">. </w:t>
      </w:r>
    </w:p>
    <w:p w14:paraId="3F76E063" w14:textId="77777777" w:rsidR="00983EBF" w:rsidRPr="0086127A" w:rsidRDefault="00983EBF" w:rsidP="00983EBF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0CB6B48F" w14:textId="738DEE0A" w:rsidR="00A020D6" w:rsidRPr="00AC304B" w:rsidRDefault="000A5AC3" w:rsidP="005673C0">
      <w:pPr>
        <w:spacing w:line="276" w:lineRule="auto"/>
        <w:jc w:val="both"/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</w:pPr>
      <w:r w:rsidRPr="005673C0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Rozporządzenie Parlamentu Europejskiego i Rady (UE) 2023/1804 w sprawie rozwoju infrastruktury paliw alternatywnych (AFIR)</w:t>
      </w:r>
      <w:r w:rsidR="00983EBF" w:rsidRPr="005673C0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 to potencjalnie najważniejszy czynnik regulacyjny stymulujący rozbudowę infrastruktury ładowania w Unii Europejskiej. </w:t>
      </w:r>
      <w:r w:rsidR="005673C0" w:rsidRPr="005673C0">
        <w:rPr>
          <w:rFonts w:cstheme="minorHAnsi"/>
          <w:sz w:val="22"/>
          <w:szCs w:val="22"/>
        </w:rPr>
        <w:t xml:space="preserve">Zgodnie z AFIR, którego przepisy zaczęły być stosowane w UE w kwietniu 2024 r., moc infrastruktury ładowania w państwach członkowskich powinna zostać dostosowana do liczby zarejestrowanych samochodów z napędem elektrycznym. </w:t>
      </w:r>
      <w:r w:rsidR="00A020D6">
        <w:rPr>
          <w:rFonts w:cstheme="minorHAnsi"/>
          <w:sz w:val="22"/>
          <w:szCs w:val="22"/>
        </w:rPr>
        <w:t xml:space="preserve">Na </w:t>
      </w:r>
      <w:r w:rsidR="005673C0">
        <w:rPr>
          <w:rFonts w:cstheme="minorHAnsi"/>
          <w:sz w:val="22"/>
          <w:szCs w:val="22"/>
        </w:rPr>
        <w:t>każdy</w:t>
      </w:r>
      <w:r w:rsidR="00381D83">
        <w:rPr>
          <w:rFonts w:cstheme="minorHAnsi"/>
          <w:sz w:val="22"/>
          <w:szCs w:val="22"/>
        </w:rPr>
        <w:t xml:space="preserve"> osobowy i dostawczy</w:t>
      </w:r>
      <w:r w:rsidR="005673C0">
        <w:rPr>
          <w:rFonts w:cstheme="minorHAnsi"/>
          <w:sz w:val="22"/>
          <w:szCs w:val="22"/>
        </w:rPr>
        <w:t xml:space="preserve"> samochód całkowicie elektryczny </w:t>
      </w:r>
      <w:r w:rsidR="00A020D6">
        <w:rPr>
          <w:rFonts w:cstheme="minorHAnsi"/>
          <w:sz w:val="22"/>
          <w:szCs w:val="22"/>
        </w:rPr>
        <w:t>musi</w:t>
      </w:r>
      <w:r w:rsidR="005673C0">
        <w:rPr>
          <w:rFonts w:cstheme="minorHAnsi"/>
          <w:sz w:val="22"/>
          <w:szCs w:val="22"/>
        </w:rPr>
        <w:t xml:space="preserve"> przypadać co najmniej 1,3</w:t>
      </w:r>
      <w:r w:rsidR="00F20A1F">
        <w:rPr>
          <w:rFonts w:cstheme="minorHAnsi"/>
          <w:sz w:val="22"/>
          <w:szCs w:val="22"/>
        </w:rPr>
        <w:t xml:space="preserve"> </w:t>
      </w:r>
      <w:r w:rsidR="005673C0">
        <w:rPr>
          <w:rFonts w:cstheme="minorHAnsi"/>
          <w:sz w:val="22"/>
          <w:szCs w:val="22"/>
        </w:rPr>
        <w:t xml:space="preserve">kW mocy </w:t>
      </w:r>
      <w:r w:rsidR="00381D83">
        <w:rPr>
          <w:rFonts w:cstheme="minorHAnsi"/>
          <w:sz w:val="22"/>
          <w:szCs w:val="22"/>
        </w:rPr>
        <w:t>ogólnodostępnej infrastruktury ładowania</w:t>
      </w:r>
      <w:r w:rsidR="00A020D6">
        <w:rPr>
          <w:rFonts w:cstheme="minorHAnsi"/>
          <w:sz w:val="22"/>
          <w:szCs w:val="22"/>
        </w:rPr>
        <w:t xml:space="preserve">, a na </w:t>
      </w:r>
      <w:r w:rsidR="005673C0">
        <w:rPr>
          <w:rFonts w:cstheme="minorHAnsi"/>
          <w:sz w:val="22"/>
          <w:szCs w:val="22"/>
        </w:rPr>
        <w:t>każdą hybrydę typu plug-in</w:t>
      </w:r>
      <w:r w:rsidR="00A020D6">
        <w:rPr>
          <w:rFonts w:cstheme="minorHAnsi"/>
          <w:sz w:val="22"/>
          <w:szCs w:val="22"/>
        </w:rPr>
        <w:t xml:space="preserve"> – 0,8 </w:t>
      </w:r>
      <w:proofErr w:type="spellStart"/>
      <w:r w:rsidR="00A020D6">
        <w:rPr>
          <w:rFonts w:cstheme="minorHAnsi"/>
          <w:sz w:val="22"/>
          <w:szCs w:val="22"/>
        </w:rPr>
        <w:t>kW</w:t>
      </w:r>
      <w:r w:rsidR="00381D83">
        <w:rPr>
          <w:rFonts w:cstheme="minorHAnsi"/>
          <w:sz w:val="22"/>
          <w:szCs w:val="22"/>
        </w:rPr>
        <w:t>.</w:t>
      </w:r>
      <w:proofErr w:type="spellEnd"/>
      <w:r w:rsidR="00381D83">
        <w:rPr>
          <w:rFonts w:cstheme="minorHAnsi"/>
          <w:sz w:val="22"/>
          <w:szCs w:val="22"/>
        </w:rPr>
        <w:t xml:space="preserve"> </w:t>
      </w:r>
    </w:p>
    <w:p w14:paraId="3A8918AF" w14:textId="77777777" w:rsidR="00A020D6" w:rsidRDefault="00A020D6" w:rsidP="005673C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978CF0F" w14:textId="24276340" w:rsidR="005673C0" w:rsidRDefault="00A020D6" w:rsidP="005673C0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1C2FE9">
        <w:rPr>
          <w:rFonts w:cstheme="minorHAnsi"/>
          <w:i/>
          <w:iCs/>
          <w:sz w:val="22"/>
          <w:szCs w:val="22"/>
        </w:rPr>
        <w:t>W</w:t>
      </w:r>
      <w:r w:rsidR="00381D83" w:rsidRPr="00295A9C">
        <w:rPr>
          <w:rFonts w:cstheme="minorHAnsi"/>
          <w:i/>
          <w:iCs/>
          <w:sz w:val="22"/>
          <w:szCs w:val="22"/>
        </w:rPr>
        <w:t xml:space="preserve">ymogi </w:t>
      </w:r>
      <w:r w:rsidR="001C2FE9">
        <w:rPr>
          <w:rFonts w:cstheme="minorHAnsi"/>
          <w:i/>
          <w:iCs/>
          <w:sz w:val="22"/>
          <w:szCs w:val="22"/>
        </w:rPr>
        <w:t xml:space="preserve">dotyczące minimalnej mocy na BEV i PHEV odnoszą </w:t>
      </w:r>
      <w:r w:rsidR="00F20A1F">
        <w:rPr>
          <w:rFonts w:cstheme="minorHAnsi"/>
          <w:i/>
          <w:iCs/>
          <w:sz w:val="22"/>
          <w:szCs w:val="22"/>
        </w:rPr>
        <w:t xml:space="preserve">się </w:t>
      </w:r>
      <w:r w:rsidR="001C2FE9">
        <w:rPr>
          <w:rFonts w:cstheme="minorHAnsi"/>
          <w:i/>
          <w:iCs/>
          <w:sz w:val="22"/>
          <w:szCs w:val="22"/>
        </w:rPr>
        <w:t>d</w:t>
      </w:r>
      <w:r w:rsidR="00F20A1F">
        <w:rPr>
          <w:rFonts w:cstheme="minorHAnsi"/>
          <w:i/>
          <w:iCs/>
          <w:sz w:val="22"/>
          <w:szCs w:val="22"/>
        </w:rPr>
        <w:t>o całej ogólnodostępnej infrastruktury</w:t>
      </w:r>
      <w:r w:rsidR="00381D83" w:rsidRPr="00295A9C">
        <w:rPr>
          <w:rFonts w:cstheme="minorHAnsi"/>
          <w:i/>
          <w:iCs/>
          <w:sz w:val="22"/>
          <w:szCs w:val="22"/>
        </w:rPr>
        <w:t>, nie tylko t</w:t>
      </w:r>
      <w:r w:rsidR="00F20A1F">
        <w:rPr>
          <w:rFonts w:cstheme="minorHAnsi"/>
          <w:i/>
          <w:iCs/>
          <w:sz w:val="22"/>
          <w:szCs w:val="22"/>
        </w:rPr>
        <w:t>ej</w:t>
      </w:r>
      <w:r w:rsidR="00381D83" w:rsidRPr="00295A9C">
        <w:rPr>
          <w:rFonts w:cstheme="minorHAnsi"/>
          <w:i/>
          <w:iCs/>
          <w:sz w:val="22"/>
          <w:szCs w:val="22"/>
        </w:rPr>
        <w:t xml:space="preserve"> zlokalizowan</w:t>
      </w:r>
      <w:r w:rsidR="00F20A1F">
        <w:rPr>
          <w:rFonts w:cstheme="minorHAnsi"/>
          <w:i/>
          <w:iCs/>
          <w:sz w:val="22"/>
          <w:szCs w:val="22"/>
        </w:rPr>
        <w:t>ej</w:t>
      </w:r>
      <w:r w:rsidR="00381D83" w:rsidRPr="00295A9C">
        <w:rPr>
          <w:rFonts w:cstheme="minorHAnsi"/>
          <w:i/>
          <w:iCs/>
          <w:sz w:val="22"/>
          <w:szCs w:val="22"/>
        </w:rPr>
        <w:t xml:space="preserve"> wzdłuż sieci TEN-T. </w:t>
      </w:r>
      <w:r w:rsidRPr="00295A9C">
        <w:rPr>
          <w:rFonts w:cstheme="minorHAnsi"/>
          <w:i/>
          <w:iCs/>
          <w:sz w:val="22"/>
          <w:szCs w:val="22"/>
        </w:rPr>
        <w:t>W</w:t>
      </w:r>
      <w:r w:rsidR="00381D83" w:rsidRPr="00295A9C">
        <w:rPr>
          <w:rFonts w:cstheme="minorHAnsi"/>
          <w:i/>
          <w:iCs/>
          <w:sz w:val="22"/>
          <w:szCs w:val="22"/>
        </w:rPr>
        <w:t xml:space="preserve"> Polsce </w:t>
      </w:r>
      <w:r w:rsidRPr="00295A9C">
        <w:rPr>
          <w:rFonts w:cstheme="minorHAnsi"/>
          <w:i/>
          <w:iCs/>
          <w:sz w:val="22"/>
          <w:szCs w:val="22"/>
        </w:rPr>
        <w:t xml:space="preserve">od wielu miesięcy </w:t>
      </w:r>
      <w:r w:rsidR="00381D83" w:rsidRPr="00295A9C">
        <w:rPr>
          <w:rFonts w:cstheme="minorHAnsi"/>
          <w:i/>
          <w:iCs/>
          <w:sz w:val="22"/>
          <w:szCs w:val="22"/>
        </w:rPr>
        <w:t xml:space="preserve">obserwujemy znaczny wzrost liczby punktów ładowania, </w:t>
      </w:r>
      <w:r w:rsidR="00A534F0">
        <w:rPr>
          <w:rFonts w:cstheme="minorHAnsi"/>
          <w:i/>
          <w:iCs/>
          <w:sz w:val="22"/>
          <w:szCs w:val="22"/>
        </w:rPr>
        <w:t>szczególnie DC</w:t>
      </w:r>
      <w:r w:rsidR="00381D83" w:rsidRPr="00295A9C">
        <w:rPr>
          <w:rFonts w:cstheme="minorHAnsi"/>
          <w:i/>
          <w:iCs/>
          <w:sz w:val="22"/>
          <w:szCs w:val="22"/>
        </w:rPr>
        <w:t xml:space="preserve">. </w:t>
      </w:r>
      <w:r w:rsidRPr="00295A9C">
        <w:rPr>
          <w:rFonts w:cstheme="minorHAnsi"/>
          <w:i/>
          <w:iCs/>
          <w:sz w:val="22"/>
          <w:szCs w:val="22"/>
        </w:rPr>
        <w:t>Dzięki licznym inwestycjom operatorów t</w:t>
      </w:r>
      <w:r w:rsidR="00381D83" w:rsidRPr="00295A9C">
        <w:rPr>
          <w:rFonts w:cstheme="minorHAnsi"/>
          <w:i/>
          <w:iCs/>
          <w:sz w:val="22"/>
          <w:szCs w:val="22"/>
        </w:rPr>
        <w:t xml:space="preserve">ylko w 2025 r. łączna moc infrastruktury zwiększyła się </w:t>
      </w:r>
      <w:r w:rsidRPr="00295A9C">
        <w:rPr>
          <w:rFonts w:cstheme="minorHAnsi"/>
          <w:i/>
          <w:iCs/>
          <w:sz w:val="22"/>
          <w:szCs w:val="22"/>
        </w:rPr>
        <w:t xml:space="preserve">prawie dwukrotnie – z ok. 407 do 770 MW. </w:t>
      </w:r>
      <w:r w:rsidR="00F20A1F">
        <w:rPr>
          <w:rFonts w:cstheme="minorHAnsi"/>
          <w:i/>
          <w:iCs/>
          <w:sz w:val="22"/>
          <w:szCs w:val="22"/>
        </w:rPr>
        <w:t>B</w:t>
      </w:r>
      <w:r w:rsidRPr="00295A9C">
        <w:rPr>
          <w:rFonts w:cstheme="minorHAnsi"/>
          <w:i/>
          <w:iCs/>
          <w:sz w:val="22"/>
          <w:szCs w:val="22"/>
        </w:rPr>
        <w:t>iorąc pod uwagę, że flota osobowych i dostawczych BEV oraz PHEV wciąż jest względnie nieliczna</w:t>
      </w:r>
      <w:r w:rsidR="00F20A1F">
        <w:rPr>
          <w:rFonts w:cstheme="minorHAnsi"/>
          <w:i/>
          <w:iCs/>
          <w:sz w:val="22"/>
          <w:szCs w:val="22"/>
        </w:rPr>
        <w:t xml:space="preserve">, na koniec I kwartału b.r. </w:t>
      </w:r>
      <w:r w:rsidRPr="00295A9C">
        <w:rPr>
          <w:rFonts w:cstheme="minorHAnsi"/>
          <w:i/>
          <w:iCs/>
          <w:sz w:val="22"/>
          <w:szCs w:val="22"/>
        </w:rPr>
        <w:t xml:space="preserve">Polska </w:t>
      </w:r>
      <w:r w:rsidR="00F20A1F">
        <w:rPr>
          <w:rFonts w:cstheme="minorHAnsi"/>
          <w:i/>
          <w:iCs/>
          <w:sz w:val="22"/>
          <w:szCs w:val="22"/>
        </w:rPr>
        <w:t>z</w:t>
      </w:r>
      <w:r w:rsidRPr="00295A9C">
        <w:rPr>
          <w:rFonts w:cstheme="minorHAnsi"/>
          <w:i/>
          <w:iCs/>
          <w:sz w:val="22"/>
          <w:szCs w:val="22"/>
        </w:rPr>
        <w:t>realiz</w:t>
      </w:r>
      <w:r w:rsidR="00F20A1F">
        <w:rPr>
          <w:rFonts w:cstheme="minorHAnsi"/>
          <w:i/>
          <w:iCs/>
          <w:sz w:val="22"/>
          <w:szCs w:val="22"/>
        </w:rPr>
        <w:t>owała</w:t>
      </w:r>
      <w:r w:rsidRPr="00295A9C">
        <w:rPr>
          <w:rFonts w:cstheme="minorHAnsi"/>
          <w:i/>
          <w:iCs/>
          <w:sz w:val="22"/>
          <w:szCs w:val="22"/>
        </w:rPr>
        <w:t xml:space="preserve"> tę kategorię obowiązków AFIR ze znaczną nawiązką. </w:t>
      </w:r>
      <w:r w:rsidR="00295A9C" w:rsidRPr="00295A9C">
        <w:rPr>
          <w:rFonts w:cstheme="minorHAnsi"/>
          <w:i/>
          <w:iCs/>
          <w:sz w:val="22"/>
          <w:szCs w:val="22"/>
        </w:rPr>
        <w:t xml:space="preserve">Wymogi w zakresie mocy </w:t>
      </w:r>
      <w:r w:rsidR="00F20A1F">
        <w:rPr>
          <w:rFonts w:cstheme="minorHAnsi"/>
          <w:i/>
          <w:iCs/>
          <w:sz w:val="22"/>
          <w:szCs w:val="22"/>
        </w:rPr>
        <w:t>zostały</w:t>
      </w:r>
      <w:r w:rsidR="00295A9C" w:rsidRPr="00295A9C">
        <w:rPr>
          <w:rFonts w:cstheme="minorHAnsi"/>
          <w:i/>
          <w:iCs/>
          <w:sz w:val="22"/>
          <w:szCs w:val="22"/>
        </w:rPr>
        <w:t xml:space="preserve"> spełnione w 230% </w:t>
      </w:r>
      <w:r w:rsidR="00295A9C">
        <w:rPr>
          <w:rFonts w:cstheme="minorHAnsi"/>
          <w:sz w:val="22"/>
          <w:szCs w:val="22"/>
        </w:rPr>
        <w:t xml:space="preserve">- mówi </w:t>
      </w:r>
      <w:r w:rsidR="00295A9C" w:rsidRPr="00295A9C">
        <w:rPr>
          <w:rFonts w:cstheme="minorHAnsi"/>
          <w:b/>
          <w:bCs/>
          <w:sz w:val="22"/>
          <w:szCs w:val="22"/>
        </w:rPr>
        <w:t>Jan Wiśniewski</w:t>
      </w:r>
      <w:r w:rsidR="00295A9C">
        <w:rPr>
          <w:rFonts w:cstheme="minorHAnsi"/>
          <w:sz w:val="22"/>
          <w:szCs w:val="22"/>
        </w:rPr>
        <w:t xml:space="preserve">, dyrektor Centrum Badań i Analiz PSNM. </w:t>
      </w:r>
    </w:p>
    <w:p w14:paraId="2170338E" w14:textId="77777777" w:rsidR="005673C0" w:rsidRDefault="005673C0" w:rsidP="005673C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0233D52" w14:textId="652EF20F" w:rsidR="00400B2B" w:rsidRPr="002377F0" w:rsidRDefault="008E1EA8" w:rsidP="005673C0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</w:t>
      </w:r>
      <w:r w:rsidR="0049015D">
        <w:rPr>
          <w:rFonts w:cstheme="minorHAnsi"/>
          <w:sz w:val="22"/>
          <w:szCs w:val="22"/>
        </w:rPr>
        <w:t>niej optymistycznie przedstawiają się perspektywy wypełnienia przez Polskę celów AFIR dotyczących rozbudowy infrastr</w:t>
      </w:r>
      <w:r w:rsidR="002377F0">
        <w:rPr>
          <w:rFonts w:cstheme="minorHAnsi"/>
          <w:sz w:val="22"/>
          <w:szCs w:val="22"/>
        </w:rPr>
        <w:t xml:space="preserve">uktury ładowania </w:t>
      </w:r>
      <w:r w:rsidR="00A534F0">
        <w:rPr>
          <w:rFonts w:cstheme="minorHAnsi"/>
          <w:sz w:val="22"/>
          <w:szCs w:val="22"/>
        </w:rPr>
        <w:t>przy</w:t>
      </w:r>
      <w:r w:rsidR="002377F0">
        <w:rPr>
          <w:rFonts w:cstheme="minorHAnsi"/>
          <w:sz w:val="22"/>
          <w:szCs w:val="22"/>
        </w:rPr>
        <w:t xml:space="preserve"> transeuropejskiej sieci transportowej (TEN-T). Na ich podstawie </w:t>
      </w:r>
      <w:r w:rsidR="005673C0" w:rsidRPr="005673C0">
        <w:rPr>
          <w:rFonts w:cstheme="minorHAnsi"/>
          <w:sz w:val="22"/>
          <w:szCs w:val="22"/>
        </w:rPr>
        <w:t>wzdłuż sieci TEN-T muszą zostać regularnie rozmieszczone strefy</w:t>
      </w:r>
      <w:r w:rsidR="002377F0">
        <w:rPr>
          <w:rFonts w:cstheme="minorHAnsi"/>
          <w:sz w:val="22"/>
          <w:szCs w:val="22"/>
        </w:rPr>
        <w:t xml:space="preserve"> (w praktyce huby)</w:t>
      </w:r>
      <w:r w:rsidR="005673C0" w:rsidRPr="005673C0">
        <w:rPr>
          <w:rFonts w:cstheme="minorHAnsi"/>
          <w:sz w:val="22"/>
          <w:szCs w:val="22"/>
        </w:rPr>
        <w:t xml:space="preserve"> ładowania. </w:t>
      </w:r>
      <w:r w:rsidR="00983EBF" w:rsidRPr="005673C0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AFIR przewiduje m.in. konieczność rozmieszczenia maksymalnie co 60 km wzdłuż sieci bazowej TEN-T stref ładowania </w:t>
      </w:r>
      <w:r w:rsidR="00A36D76" w:rsidRPr="005673C0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przeznaczonych dla samochodów osobowych i dostawczych </w:t>
      </w:r>
      <w:r w:rsidR="00983EBF" w:rsidRPr="005673C0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(każda o łącznej mocy co najmniej 400 kW, a do 2027 r. co najmniej 600 kW) na każdym kierunku podróży. Analogiczne cele dotyczą kompleksowej sieci TEN-T.</w:t>
      </w:r>
      <w:r w:rsidR="00400B2B" w:rsidRPr="005673C0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 </w:t>
      </w:r>
    </w:p>
    <w:p w14:paraId="27645335" w14:textId="1B49D007" w:rsidR="005673C0" w:rsidRDefault="005673C0" w:rsidP="005673C0">
      <w:pPr>
        <w:spacing w:line="276" w:lineRule="auto"/>
        <w:jc w:val="both"/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</w:pPr>
    </w:p>
    <w:p w14:paraId="64F11D2A" w14:textId="755339C4" w:rsidR="00967FBC" w:rsidRDefault="002377F0" w:rsidP="00983EBF">
      <w:pPr>
        <w:spacing w:line="288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Pr="00425B9F">
        <w:rPr>
          <w:rFonts w:cstheme="minorHAnsi"/>
          <w:i/>
          <w:iCs/>
          <w:sz w:val="22"/>
          <w:szCs w:val="22"/>
        </w:rPr>
        <w:t>Pierwszy termin wypełnienia tej kategorii obowiązków AFIR upłynął w 2025 r.</w:t>
      </w:r>
      <w:r w:rsidR="00661A53" w:rsidRPr="00425B9F">
        <w:rPr>
          <w:rFonts w:cstheme="minorHAnsi"/>
          <w:i/>
          <w:iCs/>
          <w:sz w:val="22"/>
          <w:szCs w:val="22"/>
        </w:rPr>
        <w:t xml:space="preserve">, jednak Polska </w:t>
      </w:r>
      <w:r w:rsidR="00A534F0">
        <w:rPr>
          <w:rFonts w:cstheme="minorHAnsi"/>
          <w:i/>
          <w:iCs/>
          <w:sz w:val="22"/>
          <w:szCs w:val="22"/>
        </w:rPr>
        <w:t>tylko nieznacznie przybliżyła się od ich</w:t>
      </w:r>
      <w:r w:rsidR="00661A53" w:rsidRPr="00425B9F">
        <w:rPr>
          <w:rFonts w:cstheme="minorHAnsi"/>
          <w:i/>
          <w:iCs/>
          <w:sz w:val="22"/>
          <w:szCs w:val="22"/>
        </w:rPr>
        <w:t xml:space="preserve"> realizacji. To </w:t>
      </w:r>
      <w:r w:rsidR="00425B9F" w:rsidRPr="00425B9F">
        <w:rPr>
          <w:rFonts w:cstheme="minorHAnsi"/>
          <w:i/>
          <w:iCs/>
          <w:sz w:val="22"/>
          <w:szCs w:val="22"/>
        </w:rPr>
        <w:t xml:space="preserve">jednak </w:t>
      </w:r>
      <w:r w:rsidR="00661A53" w:rsidRPr="00425B9F">
        <w:rPr>
          <w:rFonts w:cstheme="minorHAnsi"/>
          <w:i/>
          <w:iCs/>
          <w:sz w:val="22"/>
          <w:szCs w:val="22"/>
        </w:rPr>
        <w:t xml:space="preserve">nie oznacza, że </w:t>
      </w:r>
      <w:r w:rsidR="00A534F0">
        <w:rPr>
          <w:rFonts w:cstheme="minorHAnsi"/>
          <w:i/>
          <w:iCs/>
          <w:sz w:val="22"/>
          <w:szCs w:val="22"/>
        </w:rPr>
        <w:t xml:space="preserve">liczba </w:t>
      </w:r>
      <w:r w:rsidR="00661A53" w:rsidRPr="00425B9F">
        <w:rPr>
          <w:rFonts w:cstheme="minorHAnsi"/>
          <w:i/>
          <w:iCs/>
          <w:sz w:val="22"/>
          <w:szCs w:val="22"/>
        </w:rPr>
        <w:t xml:space="preserve">punktów ładowania w </w:t>
      </w:r>
      <w:r w:rsidR="00661A53" w:rsidRPr="00425B9F">
        <w:rPr>
          <w:rFonts w:cstheme="minorHAnsi"/>
          <w:i/>
          <w:iCs/>
          <w:sz w:val="22"/>
          <w:szCs w:val="22"/>
        </w:rPr>
        <w:lastRenderedPageBreak/>
        <w:t xml:space="preserve">naszym kraju </w:t>
      </w:r>
      <w:r w:rsidR="00A534F0">
        <w:rPr>
          <w:rFonts w:cstheme="minorHAnsi"/>
          <w:i/>
          <w:iCs/>
          <w:sz w:val="22"/>
          <w:szCs w:val="22"/>
        </w:rPr>
        <w:t>jest szczególnie niska</w:t>
      </w:r>
      <w:r w:rsidR="00661A53" w:rsidRPr="00425B9F">
        <w:rPr>
          <w:rFonts w:cstheme="minorHAnsi"/>
          <w:i/>
          <w:iCs/>
          <w:sz w:val="22"/>
          <w:szCs w:val="22"/>
        </w:rPr>
        <w:t xml:space="preserve"> – </w:t>
      </w:r>
      <w:r w:rsidR="00A534F0">
        <w:rPr>
          <w:rFonts w:cstheme="minorHAnsi"/>
          <w:i/>
          <w:iCs/>
          <w:sz w:val="22"/>
          <w:szCs w:val="22"/>
        </w:rPr>
        <w:t>aktualny</w:t>
      </w:r>
      <w:r w:rsidR="00661A53" w:rsidRPr="00425B9F">
        <w:rPr>
          <w:rFonts w:cstheme="minorHAnsi"/>
          <w:i/>
          <w:iCs/>
          <w:sz w:val="22"/>
          <w:szCs w:val="22"/>
        </w:rPr>
        <w:t xml:space="preserve"> poziom wypełnienia obowiązków AFIR to </w:t>
      </w:r>
      <w:r w:rsidR="00A534F0">
        <w:rPr>
          <w:rFonts w:cstheme="minorHAnsi"/>
          <w:i/>
          <w:iCs/>
          <w:sz w:val="22"/>
          <w:szCs w:val="22"/>
        </w:rPr>
        <w:t xml:space="preserve">w znacznej mierze </w:t>
      </w:r>
      <w:r w:rsidR="00661A53" w:rsidRPr="00425B9F">
        <w:rPr>
          <w:rFonts w:cstheme="minorHAnsi"/>
          <w:i/>
          <w:iCs/>
          <w:sz w:val="22"/>
          <w:szCs w:val="22"/>
        </w:rPr>
        <w:t xml:space="preserve">kwestia </w:t>
      </w:r>
      <w:r w:rsidR="00AC304B" w:rsidRPr="00425B9F">
        <w:rPr>
          <w:rFonts w:cstheme="minorHAnsi"/>
          <w:i/>
          <w:iCs/>
          <w:sz w:val="22"/>
          <w:szCs w:val="22"/>
        </w:rPr>
        <w:t xml:space="preserve">ambitnego </w:t>
      </w:r>
      <w:r w:rsidR="00661A53" w:rsidRPr="00425B9F">
        <w:rPr>
          <w:rFonts w:cstheme="minorHAnsi"/>
          <w:i/>
          <w:iCs/>
          <w:sz w:val="22"/>
          <w:szCs w:val="22"/>
        </w:rPr>
        <w:t xml:space="preserve">sformułowania regulacji unijnych. Polska dysponuje bardzo rozbudowaną siecią </w:t>
      </w:r>
      <w:r w:rsidR="00AC304B" w:rsidRPr="00425B9F">
        <w:rPr>
          <w:rFonts w:cstheme="minorHAnsi"/>
          <w:i/>
          <w:iCs/>
          <w:sz w:val="22"/>
          <w:szCs w:val="22"/>
        </w:rPr>
        <w:t xml:space="preserve">TEN-T (docelowo ma to być prawie 16 tys. km w obu kierunkach), a rozporządzenie przewiduje konieczność </w:t>
      </w:r>
      <w:r w:rsidR="00A534F0">
        <w:rPr>
          <w:rFonts w:cstheme="minorHAnsi"/>
          <w:i/>
          <w:iCs/>
          <w:sz w:val="22"/>
          <w:szCs w:val="22"/>
        </w:rPr>
        <w:t>wysokiego</w:t>
      </w:r>
      <w:r w:rsidR="00AC304B" w:rsidRPr="00425B9F">
        <w:rPr>
          <w:rFonts w:cstheme="minorHAnsi"/>
          <w:i/>
          <w:iCs/>
          <w:sz w:val="22"/>
          <w:szCs w:val="22"/>
        </w:rPr>
        <w:t xml:space="preserve"> zagęszczenia infrastruktury – </w:t>
      </w:r>
      <w:r w:rsidR="00425B9F" w:rsidRPr="00425B9F">
        <w:rPr>
          <w:rFonts w:cstheme="minorHAnsi"/>
          <w:i/>
          <w:iCs/>
          <w:sz w:val="22"/>
          <w:szCs w:val="22"/>
        </w:rPr>
        <w:t xml:space="preserve">strefy dla pojazdów lekkich mają być rozmieszczone maksymalnie co 60 km, spełniając jednocześnie wymogi co do mocy. W rezultacie stopień „pokrycia” sieci bazowej infrastrukturą dla pojazdów osobowych i dostawczych wynosi 31% (obowiązki na rok 2025) oraz 21% (obowiązki na rok 2027). To znaczny postęp względem poprzedniego </w:t>
      </w:r>
      <w:r w:rsidR="008E1EA8">
        <w:rPr>
          <w:rFonts w:cstheme="minorHAnsi"/>
          <w:i/>
          <w:iCs/>
          <w:sz w:val="22"/>
          <w:szCs w:val="22"/>
        </w:rPr>
        <w:t xml:space="preserve">wydania </w:t>
      </w:r>
      <w:r w:rsidR="00425B9F" w:rsidRPr="00425B9F">
        <w:rPr>
          <w:rFonts w:cstheme="minorHAnsi"/>
          <w:i/>
          <w:iCs/>
          <w:sz w:val="22"/>
          <w:szCs w:val="22"/>
        </w:rPr>
        <w:t>„Licznika AFIR”, ale nadal do osiągnięcia poziomu docelowego Polsce brakuje bardzo dużo</w:t>
      </w:r>
      <w:r w:rsidR="002D37C1">
        <w:rPr>
          <w:rFonts w:cstheme="minorHAnsi"/>
          <w:i/>
          <w:iCs/>
          <w:sz w:val="22"/>
          <w:szCs w:val="22"/>
        </w:rPr>
        <w:t>.</w:t>
      </w:r>
      <w:r w:rsidR="00425B9F">
        <w:rPr>
          <w:rFonts w:cstheme="minorHAnsi"/>
          <w:sz w:val="22"/>
          <w:szCs w:val="22"/>
        </w:rPr>
        <w:t xml:space="preserve"> </w:t>
      </w:r>
      <w:r w:rsidR="00A534F0" w:rsidRPr="00A534F0">
        <w:rPr>
          <w:rFonts w:cstheme="minorHAnsi"/>
          <w:i/>
          <w:iCs/>
          <w:sz w:val="22"/>
          <w:szCs w:val="22"/>
        </w:rPr>
        <w:t>W przypadku pojazdów lekkich (M1 oraz N1)</w:t>
      </w:r>
      <w:r w:rsidR="00A534F0">
        <w:rPr>
          <w:rFonts w:cstheme="minorHAnsi"/>
          <w:sz w:val="22"/>
          <w:szCs w:val="22"/>
        </w:rPr>
        <w:t xml:space="preserve"> </w:t>
      </w:r>
      <w:r w:rsidR="00A534F0">
        <w:rPr>
          <w:rFonts w:cstheme="minorHAnsi"/>
          <w:i/>
          <w:iCs/>
          <w:sz w:val="22"/>
          <w:szCs w:val="22"/>
        </w:rPr>
        <w:t>s</w:t>
      </w:r>
      <w:r w:rsidR="002D37C1" w:rsidRPr="002D37C1">
        <w:rPr>
          <w:rFonts w:cstheme="minorHAnsi"/>
          <w:i/>
          <w:iCs/>
          <w:sz w:val="22"/>
          <w:szCs w:val="22"/>
        </w:rPr>
        <w:t xml:space="preserve">zczególnie wiele do nadrobienia pozostało w zakresie rozbudowy stref wzdłuż sieci kompleksowej TEN-T. Są </w:t>
      </w:r>
      <w:r w:rsidR="00A534F0">
        <w:rPr>
          <w:rFonts w:cstheme="minorHAnsi"/>
          <w:i/>
          <w:iCs/>
          <w:sz w:val="22"/>
          <w:szCs w:val="22"/>
        </w:rPr>
        <w:t xml:space="preserve">one </w:t>
      </w:r>
      <w:r w:rsidR="002D37C1" w:rsidRPr="002D37C1">
        <w:rPr>
          <w:rFonts w:cstheme="minorHAnsi"/>
          <w:i/>
          <w:iCs/>
          <w:sz w:val="22"/>
          <w:szCs w:val="22"/>
        </w:rPr>
        <w:t>obecnie zrealizowane w niecałych 6% (na rok 2025)</w:t>
      </w:r>
      <w:r w:rsidR="002D37C1" w:rsidRPr="002D37C1">
        <w:rPr>
          <w:rFonts w:cstheme="minorHAnsi"/>
          <w:sz w:val="22"/>
          <w:szCs w:val="22"/>
        </w:rPr>
        <w:t xml:space="preserve"> </w:t>
      </w:r>
      <w:r w:rsidR="00425B9F">
        <w:rPr>
          <w:rFonts w:cstheme="minorHAnsi"/>
          <w:sz w:val="22"/>
          <w:szCs w:val="22"/>
        </w:rPr>
        <w:t xml:space="preserve">– mówi </w:t>
      </w:r>
      <w:r w:rsidR="00425B9F" w:rsidRPr="00425B9F">
        <w:rPr>
          <w:rFonts w:cstheme="minorHAnsi"/>
          <w:b/>
          <w:bCs/>
          <w:sz w:val="22"/>
          <w:szCs w:val="22"/>
        </w:rPr>
        <w:t>Aleksander Rajch</w:t>
      </w:r>
      <w:r w:rsidR="00425B9F">
        <w:rPr>
          <w:rFonts w:cstheme="minorHAnsi"/>
          <w:sz w:val="22"/>
          <w:szCs w:val="22"/>
        </w:rPr>
        <w:t xml:space="preserve">, członek zarządu PSNM. </w:t>
      </w:r>
    </w:p>
    <w:p w14:paraId="5C5BCA33" w14:textId="77777777" w:rsidR="002D37C1" w:rsidRDefault="002D37C1" w:rsidP="00983EBF">
      <w:pPr>
        <w:spacing w:line="288" w:lineRule="auto"/>
        <w:jc w:val="both"/>
        <w:rPr>
          <w:rFonts w:cstheme="minorHAnsi"/>
          <w:sz w:val="22"/>
          <w:szCs w:val="22"/>
        </w:rPr>
      </w:pPr>
    </w:p>
    <w:p w14:paraId="0F5AF99D" w14:textId="55D963FD" w:rsidR="00983EBF" w:rsidRDefault="00983EBF" w:rsidP="00983EBF">
      <w:pPr>
        <w:spacing w:line="288" w:lineRule="auto"/>
        <w:jc w:val="both"/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</w:pPr>
      <w:r w:rsidRPr="00983EB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AFIR wyznacza </w:t>
      </w:r>
      <w:r w:rsidR="00C65BEE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również </w:t>
      </w:r>
      <w:r w:rsidRPr="00983EB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cele w obszarze infrastruktury dla elektrycznych pojazdów ciężkich</w:t>
      </w:r>
      <w:r w:rsidR="00C65BEE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 (</w:t>
      </w:r>
      <w:proofErr w:type="spellStart"/>
      <w:r w:rsidR="00C65BEE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eHDV</w:t>
      </w:r>
      <w:proofErr w:type="spellEnd"/>
      <w:r w:rsidR="00C65BEE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)</w:t>
      </w:r>
      <w:r w:rsidRPr="00983EB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. Przykładowo, do końca </w:t>
      </w:r>
      <w:r w:rsidR="00C65BEE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roku </w:t>
      </w:r>
      <w:r w:rsidRPr="00983EB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2027 wzdłuż połowy sieci bazowej TEN-T będą musiały funkcjonować przeznaczone dla </w:t>
      </w:r>
      <w:proofErr w:type="spellStart"/>
      <w:r w:rsidRPr="00983EB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eHDV</w:t>
      </w:r>
      <w:proofErr w:type="spellEnd"/>
      <w:r w:rsidRPr="00983EB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 strefy ładowania o mocy co najmniej 2800 kW każda. Do 2030 r. moc każdej takiej strefy powinna wzrosnąć aż do 3600 </w:t>
      </w:r>
      <w:proofErr w:type="spellStart"/>
      <w:r w:rsidR="0096466E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kW</w:t>
      </w:r>
      <w:r w:rsidRPr="00983EB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.</w:t>
      </w:r>
      <w:proofErr w:type="spellEnd"/>
      <w:r w:rsidRPr="00983EB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 </w:t>
      </w:r>
      <w:r w:rsidR="00070FAB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Na dziś wypełnienie wyżej opisanych celów w Polsce </w:t>
      </w:r>
      <w:r w:rsidR="002D37C1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oscyluje w przedziale od 0% do ok. 1,5%</w:t>
      </w:r>
      <w:r w:rsidR="00070FAB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. Ogólnodostępne punkty ładowania dla elektrycznych ciężarówek funkcjonują w zaledwie </w:t>
      </w:r>
      <w:r w:rsidR="0096466E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7</w:t>
      </w:r>
      <w:r w:rsidR="00070FAB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 lokalizacjach, </w:t>
      </w:r>
      <w:r w:rsidR="002D37C1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w zdecydowanej większości przypadków </w:t>
      </w:r>
      <w:r w:rsidR="00070FAB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położonych między sobą w zbyt dużych odległościach </w:t>
      </w:r>
      <w:r w:rsidR="004055E7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z perspektywy</w:t>
      </w:r>
      <w:r w:rsidR="00070FAB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 wymogów AFIR. </w:t>
      </w:r>
    </w:p>
    <w:p w14:paraId="0D1B9D7E" w14:textId="77777777" w:rsidR="00983EBF" w:rsidRDefault="00983EBF" w:rsidP="00983EBF">
      <w:pPr>
        <w:spacing w:line="288" w:lineRule="auto"/>
        <w:jc w:val="both"/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</w:pPr>
    </w:p>
    <w:p w14:paraId="4AD34B25" w14:textId="0D3752B1" w:rsidR="00983EBF" w:rsidRPr="00155BDF" w:rsidRDefault="0098097A" w:rsidP="00983EBF">
      <w:pPr>
        <w:spacing w:line="288" w:lineRule="auto"/>
        <w:jc w:val="both"/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</w:pPr>
      <w:r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-</w:t>
      </w:r>
      <w:r w:rsidR="00461EB5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 Wynikające z AFIR obowiązki są i będą realizowane coraz szybciej – </w:t>
      </w:r>
      <w:r w:rsidR="0047140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wiele z</w:t>
      </w:r>
      <w:r w:rsidR="00461EB5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 now</w:t>
      </w:r>
      <w:r w:rsidR="0047140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ych</w:t>
      </w:r>
      <w:r w:rsidR="00461EB5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 inwestycj</w:t>
      </w:r>
      <w:r w:rsidR="0047140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i</w:t>
      </w:r>
      <w:r w:rsidR="00461EB5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 infrastrukturaln</w:t>
      </w:r>
      <w:r w:rsidR="0047140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ych</w:t>
      </w:r>
      <w:r w:rsidR="00461EB5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 może doprowadzić do „pokrycia” kolejn</w:t>
      </w:r>
      <w:r w:rsidR="0047140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ych odcinków sieci TEN-T o wymaganej przez regulacje unijne długości. Największym wyzwaniem pozostanie oczywiście budowa stref dla elektrycznych ciężarówek, zwłaszcza że są to inwestycje wymagające bardzo wysokich nakładów, zarówno pod względem CAPEX (tu mówimy o sumach liczonych w setkach tysięcy lub milionach złotych na jedną lokalizację), jak i OPEX – miesięczne koszty </w:t>
      </w:r>
      <w:r w:rsidR="00F20A1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stałe za energię mogą sięgać nawet kilkudziesięciu tysięcy złotych, bez względy na to, czy ktokolwiek się na takiej stacji ładuje. Obecny popyt na takie usługi jest niski – po polskich drogach jeździ mniej niż 200 elektrycznych ciężarówek kategorii N3. W takiej sytuacji realizacja celów AFIR na zasadach czysto rynkowych </w:t>
      </w:r>
      <w:r w:rsidR="00A534F0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nie jest możliwa</w:t>
      </w:r>
      <w:r w:rsidR="00F20A1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. Dlatego kwesti</w:t>
      </w:r>
      <w:r w:rsidR="00A534F0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ę</w:t>
      </w:r>
      <w:r w:rsidR="00F20A1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 priorytetową </w:t>
      </w:r>
      <w:r w:rsidR="00A534F0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stanowi</w:t>
      </w:r>
      <w:r w:rsidR="00F20A1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 szybkie rozstrzygnięcie ubiegłorocznych naborów programów dopłat do stacji dla </w:t>
      </w:r>
      <w:proofErr w:type="spellStart"/>
      <w:r w:rsidR="00F20A1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>eHDV</w:t>
      </w:r>
      <w:proofErr w:type="spellEnd"/>
      <w:r w:rsidR="00F20A1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 oraz przyłączy</w:t>
      </w:r>
      <w:r w:rsidR="00A534F0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, jak również </w:t>
      </w:r>
      <w:r w:rsidR="00F20A1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uruchomienie kolejnych naborów w możliwie bliskim terminie – </w:t>
      </w:r>
      <w:r w:rsidR="00F20A1F" w:rsidRPr="00F20A1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 xml:space="preserve">mówi </w:t>
      </w:r>
      <w:r w:rsidR="00F20A1F" w:rsidRPr="00F20A1F">
        <w:rPr>
          <w:rFonts w:ascii="Calibri" w:eastAsia="Aptos" w:hAnsi="Calibri" w:cs="Calibri"/>
          <w:b/>
          <w:bCs/>
          <w:kern w:val="2"/>
          <w:sz w:val="22"/>
          <w:szCs w:val="22"/>
          <w:shd w:val="clear" w:color="auto" w:fill="FFFFFF"/>
          <w14:ligatures w14:val="standardContextual"/>
        </w:rPr>
        <w:t>Jan Wiśniewski</w:t>
      </w:r>
      <w:r w:rsidR="00F20A1F" w:rsidRPr="00F20A1F">
        <w:rPr>
          <w:rFonts w:ascii="Calibri" w:eastAsia="Aptos" w:hAnsi="Calibri" w:cs="Calibri"/>
          <w:kern w:val="2"/>
          <w:sz w:val="22"/>
          <w:szCs w:val="22"/>
          <w:shd w:val="clear" w:color="auto" w:fill="FFFFFF"/>
          <w14:ligatures w14:val="standardContextual"/>
        </w:rPr>
        <w:t>, dyrektor Centrum Badań i Analiz PSNM.</w:t>
      </w:r>
      <w:r w:rsidR="00F20A1F">
        <w:rPr>
          <w:rFonts w:ascii="Calibri" w:eastAsia="Aptos" w:hAnsi="Calibri" w:cs="Calibri"/>
          <w:i/>
          <w:iCs/>
          <w:kern w:val="2"/>
          <w:sz w:val="22"/>
          <w:szCs w:val="22"/>
          <w:shd w:val="clear" w:color="auto" w:fill="FFFFFF"/>
          <w14:ligatures w14:val="standardContextual"/>
        </w:rPr>
        <w:t xml:space="preserve"> </w:t>
      </w:r>
    </w:p>
    <w:p w14:paraId="26F69CCA" w14:textId="77777777" w:rsidR="00983EBF" w:rsidRDefault="00983EBF" w:rsidP="00983EBF">
      <w:pPr>
        <w:spacing w:line="288" w:lineRule="auto"/>
        <w:jc w:val="both"/>
        <w:rPr>
          <w:rStyle w:val="Odwoaniedokomentarza"/>
        </w:rPr>
      </w:pPr>
    </w:p>
    <w:p w14:paraId="5DE9BCC2" w14:textId="77777777" w:rsidR="00983EBF" w:rsidRPr="004B6185" w:rsidRDefault="00983EBF" w:rsidP="00983EBF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0AE9E13A" w14:textId="77777777" w:rsidR="00570F09" w:rsidRPr="00422242" w:rsidRDefault="00570F09" w:rsidP="00FB5FBF">
      <w:pPr>
        <w:spacing w:line="276" w:lineRule="auto"/>
        <w:rPr>
          <w:rFonts w:ascii="Aptos" w:hAnsi="Aptos" w:cs="Arial"/>
          <w:sz w:val="22"/>
          <w:szCs w:val="22"/>
        </w:rPr>
      </w:pPr>
    </w:p>
    <w:p w14:paraId="4F146C50" w14:textId="325E7A36" w:rsidR="005404E1" w:rsidRPr="00422242" w:rsidRDefault="005404E1" w:rsidP="00983EBF">
      <w:pPr>
        <w:rPr>
          <w:rFonts w:ascii="Aptos" w:hAnsi="Aptos" w:cs="Arial"/>
          <w:sz w:val="22"/>
          <w:szCs w:val="22"/>
        </w:rPr>
      </w:pPr>
    </w:p>
    <w:sectPr w:rsidR="005404E1" w:rsidRPr="00422242" w:rsidSect="00232820">
      <w:headerReference w:type="default" r:id="rId7"/>
      <w:footerReference w:type="default" r:id="rId8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5731" w14:textId="77777777" w:rsidR="008C1725" w:rsidRDefault="008C1725" w:rsidP="00096C4B">
      <w:r>
        <w:separator/>
      </w:r>
    </w:p>
  </w:endnote>
  <w:endnote w:type="continuationSeparator" w:id="0">
    <w:p w14:paraId="0E0222E1" w14:textId="77777777" w:rsidR="008C1725" w:rsidRDefault="008C1725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81BA" w14:textId="77777777" w:rsidR="008C1725" w:rsidRDefault="008C1725" w:rsidP="00096C4B">
      <w:r>
        <w:separator/>
      </w:r>
    </w:p>
  </w:footnote>
  <w:footnote w:type="continuationSeparator" w:id="0">
    <w:p w14:paraId="43B746CA" w14:textId="77777777" w:rsidR="008C1725" w:rsidRDefault="008C1725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94FCD"/>
    <w:multiLevelType w:val="hybridMultilevel"/>
    <w:tmpl w:val="D8AA9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08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53D50"/>
    <w:rsid w:val="000608F2"/>
    <w:rsid w:val="00070FAB"/>
    <w:rsid w:val="000941EE"/>
    <w:rsid w:val="00096C4B"/>
    <w:rsid w:val="000970DD"/>
    <w:rsid w:val="000A5AC3"/>
    <w:rsid w:val="000B6186"/>
    <w:rsid w:val="000C0FE4"/>
    <w:rsid w:val="000C2E3F"/>
    <w:rsid w:val="000C3267"/>
    <w:rsid w:val="0012071E"/>
    <w:rsid w:val="001358E5"/>
    <w:rsid w:val="00155BDF"/>
    <w:rsid w:val="00156A31"/>
    <w:rsid w:val="00162666"/>
    <w:rsid w:val="00176D06"/>
    <w:rsid w:val="001C2FE9"/>
    <w:rsid w:val="001C30D0"/>
    <w:rsid w:val="002014C4"/>
    <w:rsid w:val="00232820"/>
    <w:rsid w:val="002377F0"/>
    <w:rsid w:val="002715C8"/>
    <w:rsid w:val="00273F47"/>
    <w:rsid w:val="00287DD2"/>
    <w:rsid w:val="00295A9C"/>
    <w:rsid w:val="002B0AAE"/>
    <w:rsid w:val="002B389F"/>
    <w:rsid w:val="002B696D"/>
    <w:rsid w:val="002C57BE"/>
    <w:rsid w:val="002D37C1"/>
    <w:rsid w:val="003306CE"/>
    <w:rsid w:val="003439E5"/>
    <w:rsid w:val="00381D83"/>
    <w:rsid w:val="00391186"/>
    <w:rsid w:val="00396CA0"/>
    <w:rsid w:val="003A092F"/>
    <w:rsid w:val="00400B2B"/>
    <w:rsid w:val="004055E7"/>
    <w:rsid w:val="00422242"/>
    <w:rsid w:val="0042295B"/>
    <w:rsid w:val="00425B9F"/>
    <w:rsid w:val="00461EB5"/>
    <w:rsid w:val="004624F6"/>
    <w:rsid w:val="0047140F"/>
    <w:rsid w:val="00476367"/>
    <w:rsid w:val="0049015D"/>
    <w:rsid w:val="00495938"/>
    <w:rsid w:val="004B554F"/>
    <w:rsid w:val="004C194C"/>
    <w:rsid w:val="004C57AD"/>
    <w:rsid w:val="004D6F53"/>
    <w:rsid w:val="004E003B"/>
    <w:rsid w:val="00504522"/>
    <w:rsid w:val="005073AA"/>
    <w:rsid w:val="00512593"/>
    <w:rsid w:val="005157F4"/>
    <w:rsid w:val="00520EA9"/>
    <w:rsid w:val="00527EAA"/>
    <w:rsid w:val="005404E1"/>
    <w:rsid w:val="00551AB0"/>
    <w:rsid w:val="0056239B"/>
    <w:rsid w:val="00565D92"/>
    <w:rsid w:val="005673C0"/>
    <w:rsid w:val="00570F09"/>
    <w:rsid w:val="00573EDD"/>
    <w:rsid w:val="005B145E"/>
    <w:rsid w:val="005E2DFC"/>
    <w:rsid w:val="00643FAB"/>
    <w:rsid w:val="00661A53"/>
    <w:rsid w:val="00693BD0"/>
    <w:rsid w:val="006F2366"/>
    <w:rsid w:val="0070503A"/>
    <w:rsid w:val="00716957"/>
    <w:rsid w:val="0072262E"/>
    <w:rsid w:val="007450FA"/>
    <w:rsid w:val="007B622C"/>
    <w:rsid w:val="007B6846"/>
    <w:rsid w:val="007E2495"/>
    <w:rsid w:val="00813EFB"/>
    <w:rsid w:val="00832725"/>
    <w:rsid w:val="00832C9A"/>
    <w:rsid w:val="00887F4C"/>
    <w:rsid w:val="008C1725"/>
    <w:rsid w:val="008C54BD"/>
    <w:rsid w:val="008E1EA8"/>
    <w:rsid w:val="009113D2"/>
    <w:rsid w:val="00946797"/>
    <w:rsid w:val="00950378"/>
    <w:rsid w:val="0096466E"/>
    <w:rsid w:val="00967FBC"/>
    <w:rsid w:val="0098097A"/>
    <w:rsid w:val="00983EBF"/>
    <w:rsid w:val="009C7150"/>
    <w:rsid w:val="00A020D6"/>
    <w:rsid w:val="00A36D76"/>
    <w:rsid w:val="00A42383"/>
    <w:rsid w:val="00A534F0"/>
    <w:rsid w:val="00A61088"/>
    <w:rsid w:val="00A819F5"/>
    <w:rsid w:val="00A903D9"/>
    <w:rsid w:val="00AC304B"/>
    <w:rsid w:val="00AD5F17"/>
    <w:rsid w:val="00AF5372"/>
    <w:rsid w:val="00B4712B"/>
    <w:rsid w:val="00B61870"/>
    <w:rsid w:val="00B94DF6"/>
    <w:rsid w:val="00BC6923"/>
    <w:rsid w:val="00C42608"/>
    <w:rsid w:val="00C56F49"/>
    <w:rsid w:val="00C61704"/>
    <w:rsid w:val="00C65BEE"/>
    <w:rsid w:val="00C91224"/>
    <w:rsid w:val="00C92AE0"/>
    <w:rsid w:val="00CB676E"/>
    <w:rsid w:val="00CD27D3"/>
    <w:rsid w:val="00D042DC"/>
    <w:rsid w:val="00D35A7E"/>
    <w:rsid w:val="00D527DE"/>
    <w:rsid w:val="00D56603"/>
    <w:rsid w:val="00D95368"/>
    <w:rsid w:val="00DA5CEE"/>
    <w:rsid w:val="00E61F0C"/>
    <w:rsid w:val="00EA752D"/>
    <w:rsid w:val="00EB1742"/>
    <w:rsid w:val="00ED4BBA"/>
    <w:rsid w:val="00F20A1F"/>
    <w:rsid w:val="00F53275"/>
    <w:rsid w:val="00FB5FBF"/>
    <w:rsid w:val="00FC32C1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983E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3EBF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7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7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7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Jan Wiśniewski</cp:lastModifiedBy>
  <cp:revision>85</cp:revision>
  <dcterms:created xsi:type="dcterms:W3CDTF">2020-04-27T12:34:00Z</dcterms:created>
  <dcterms:modified xsi:type="dcterms:W3CDTF">2026-05-11T11:22:00Z</dcterms:modified>
</cp:coreProperties>
</file>