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601E9" w14:textId="77777777" w:rsidR="007903B5" w:rsidRDefault="00000000">
      <w:pPr>
        <w:spacing w:after="280"/>
      </w:pPr>
      <w:r>
        <w:rPr>
          <w:b/>
        </w:rPr>
        <w:t>Rekordowy napływ kapitału na rynek nieruchomości w Maladze. 418 mln euro w pierwszym półroczu</w:t>
      </w:r>
    </w:p>
    <w:p w14:paraId="79042B4C" w14:textId="77777777" w:rsidR="007903B5" w:rsidRDefault="00000000">
      <w:pPr>
        <w:jc w:val="both"/>
      </w:pPr>
      <w:r>
        <w:t>Inwestycje w nieruchomości w prowincji Maladze rosną w rekordowym tempie — w pierwszym półroczu 2026 roku sięgnęły 418 mln euro. To ponad trzykrotnie więcej niż rok wcześniej i najlepsze półrocze w historii pomiarów, wynika z analizy firmy doradczej CBRE.</w:t>
      </w:r>
    </w:p>
    <w:p w14:paraId="2FFDF2C7" w14:textId="77777777" w:rsidR="007903B5" w:rsidRDefault="00000000">
      <w:pPr>
        <w:jc w:val="both"/>
      </w:pPr>
      <w:r>
        <w:t>Rok wcześniej, między styczniem a czerwcem 2025 roku, do prowincji trafiły 132 mln euro — tegoroczny wynik oznacza więc wzrost o 217 proc. W całej Andaluzji inwestycje sięgnęły 864 mln euro, z czego na samą Malagę przypadło 48 proc., wobec 28 proc. rok wcześniej. Kapitał popłynął przede wszystkim do dwóch sektorów. Hotele przyciągnęły 232 mln euro, ponad dziewięciokrotnie więcej niż przed rokiem, a segment mieszkaniowy 169 mln euro, o 61 proc. więcej. Według CBRE oba sektory odpowiadały łącznie za około 96 proc. wszystkich inwestycji w nieruchomości w prowincji.</w:t>
      </w:r>
    </w:p>
    <w:p w14:paraId="3C5792FC" w14:textId="77777777" w:rsidR="007903B5" w:rsidRDefault="00000000">
      <w:pPr>
        <w:jc w:val="both"/>
      </w:pPr>
      <w:r>
        <w:t>— Dla inwestora indywidualnego te liczby nie są gotową receptą, lecz rzetelną informacją o kondycji rynku. Malaga przyciąga dziś kapitał hiszpański i zagraniczny, a to najlepsza rekomendacja tego kierunku. Strategię trzeba jednak dobrać do własnych celów i możliwości, bo kupujący apartament działa w innej skali niż inwestor nabywający hotel — mówi Joanna Ossowska-Rodziewicz, współwłaścicielka agencji nieruchomości By-Bright.</w:t>
      </w:r>
    </w:p>
    <w:p w14:paraId="06AEAD75" w14:textId="77777777" w:rsidR="007903B5" w:rsidRDefault="00000000">
      <w:pPr>
        <w:spacing w:before="240" w:after="160"/>
      </w:pPr>
      <w:r>
        <w:rPr>
          <w:b/>
        </w:rPr>
        <w:t>Rekord także na rynku biurowym</w:t>
      </w:r>
    </w:p>
    <w:p w14:paraId="76412829" w14:textId="03537606" w:rsidR="007903B5" w:rsidRDefault="00000000">
      <w:pPr>
        <w:jc w:val="both"/>
      </w:pPr>
      <w:r>
        <w:t xml:space="preserve">Tym razem chodzi o samo miasto. Nowe projekty biurowe pomogły pozyskać kolejnych najemców i w ciągu sześciu miesięcy wynajęto w Maladze ponad 11 tys. </w:t>
      </w:r>
      <w:r w:rsidR="00E53AAE">
        <w:t>M. kw.</w:t>
      </w:r>
      <w:r>
        <w:t xml:space="preserve"> powierzchni — najwięcej w historii dla tego okresu. Ta dynamika świadczy o sile popytu i rosnącym zainteresowaniu Malagą ze strony firm.</w:t>
      </w:r>
    </w:p>
    <w:p w14:paraId="101A391C" w14:textId="49CE2C78" w:rsidR="007903B5" w:rsidRDefault="00000000" w:rsidP="00E53AAE">
      <w:pPr>
        <w:jc w:val="both"/>
      </w:pPr>
      <w:r>
        <w:t>— Rynek biurowy jest dla mnie ważniejszym wskaźnikiem niż same kwoty transakcji. Skoro w Maladze przybywa firm, zmienia się charakter miasta — z sezonowego kurortu na miejsce, w którym mieszka się przez cały rok. Dlatego kupującym radzę zwracać uwagę na lokalizacje atrakcyjne również poza latem — mówi Robert Reiski, współwłaściciel By-Bright.</w:t>
      </w:r>
    </w:p>
    <w:sectPr w:rsidR="007903B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1561534">
    <w:abstractNumId w:val="8"/>
  </w:num>
  <w:num w:numId="2" w16cid:durableId="2048333902">
    <w:abstractNumId w:val="6"/>
  </w:num>
  <w:num w:numId="3" w16cid:durableId="2137212008">
    <w:abstractNumId w:val="5"/>
  </w:num>
  <w:num w:numId="4" w16cid:durableId="661855923">
    <w:abstractNumId w:val="4"/>
  </w:num>
  <w:num w:numId="5" w16cid:durableId="399450854">
    <w:abstractNumId w:val="7"/>
  </w:num>
  <w:num w:numId="6" w16cid:durableId="1225066877">
    <w:abstractNumId w:val="3"/>
  </w:num>
  <w:num w:numId="7" w16cid:durableId="1413627794">
    <w:abstractNumId w:val="2"/>
  </w:num>
  <w:num w:numId="8" w16cid:durableId="417026238">
    <w:abstractNumId w:val="1"/>
  </w:num>
  <w:num w:numId="9" w16cid:durableId="737366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5C73"/>
    <w:rsid w:val="0029639D"/>
    <w:rsid w:val="00326F90"/>
    <w:rsid w:val="007903B5"/>
    <w:rsid w:val="00AA1D8D"/>
    <w:rsid w:val="00B47730"/>
    <w:rsid w:val="00CB0664"/>
    <w:rsid w:val="00E53A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2DB0A"/>
  <w14:defaultImageDpi w14:val="300"/>
  <w15:docId w15:val="{3D642E7F-3EB3-4FC5-922D-86C257C5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 w:cs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Piotr Zabłocki</cp:lastModifiedBy>
  <cp:revision>2</cp:revision>
  <dcterms:created xsi:type="dcterms:W3CDTF">2013-12-23T23:15:00Z</dcterms:created>
  <dcterms:modified xsi:type="dcterms:W3CDTF">2026-07-27T14:17:00Z</dcterms:modified>
  <cp:category/>
</cp:coreProperties>
</file>