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sz w:val="16"/>
          <w:szCs w:val="16"/>
        </w:rPr>
      </w:pPr>
      <w:r w:rsidDel="00000000" w:rsidR="00000000" w:rsidRPr="00000000">
        <w:rPr>
          <w:rtl w:val="0"/>
        </w:rPr>
      </w:r>
    </w:p>
    <w:p w:rsidR="00000000" w:rsidDel="00000000" w:rsidP="00000000" w:rsidRDefault="00000000" w:rsidRPr="00000000" w14:paraId="00000002">
      <w:pPr>
        <w:jc w:val="both"/>
        <w:rPr>
          <w:sz w:val="16"/>
          <w:szCs w:val="16"/>
        </w:rPr>
      </w:pPr>
      <w:r w:rsidDel="00000000" w:rsidR="00000000" w:rsidRPr="00000000">
        <w:rPr>
          <w:rtl w:val="0"/>
        </w:rPr>
      </w:r>
    </w:p>
    <w:p w:rsidR="00000000" w:rsidDel="00000000" w:rsidP="00000000" w:rsidRDefault="00000000" w:rsidRPr="00000000" w14:paraId="00000003">
      <w:pPr>
        <w:jc w:val="both"/>
        <w:rPr>
          <w:sz w:val="16"/>
          <w:szCs w:val="16"/>
        </w:rPr>
      </w:pPr>
      <w:r w:rsidDel="00000000" w:rsidR="00000000" w:rsidRPr="00000000">
        <w:rPr>
          <w:rtl w:val="0"/>
        </w:rPr>
      </w:r>
    </w:p>
    <w:p w:rsidR="00000000" w:rsidDel="00000000" w:rsidP="00000000" w:rsidRDefault="00000000" w:rsidRPr="00000000" w14:paraId="00000004">
      <w:pPr>
        <w:jc w:val="both"/>
        <w:rPr>
          <w:sz w:val="16"/>
          <w:szCs w:val="16"/>
        </w:rPr>
      </w:pPr>
      <w:r w:rsidDel="00000000" w:rsidR="00000000" w:rsidRPr="00000000">
        <w:rPr>
          <w:rtl w:val="0"/>
        </w:rPr>
      </w:r>
    </w:p>
    <w:p w:rsidR="00000000" w:rsidDel="00000000" w:rsidP="00000000" w:rsidRDefault="00000000" w:rsidRPr="00000000" w14:paraId="00000005">
      <w:pPr>
        <w:jc w:val="both"/>
        <w:rPr>
          <w:sz w:val="16"/>
          <w:szCs w:val="16"/>
        </w:rPr>
      </w:pPr>
      <w:r w:rsidDel="00000000" w:rsidR="00000000" w:rsidRPr="00000000">
        <w:rPr>
          <w:rtl w:val="0"/>
        </w:rPr>
      </w:r>
    </w:p>
    <w:p w:rsidR="00000000" w:rsidDel="00000000" w:rsidP="00000000" w:rsidRDefault="00000000" w:rsidRPr="00000000" w14:paraId="00000006">
      <w:pPr>
        <w:jc w:val="both"/>
        <w:rPr>
          <w:sz w:val="16"/>
          <w:szCs w:val="16"/>
        </w:rPr>
      </w:pPr>
      <w:r w:rsidDel="00000000" w:rsidR="00000000" w:rsidRPr="00000000">
        <w:rPr>
          <w:rtl w:val="0"/>
        </w:rPr>
      </w:r>
    </w:p>
    <w:p w:rsidR="00000000" w:rsidDel="00000000" w:rsidP="00000000" w:rsidRDefault="00000000" w:rsidRPr="00000000" w14:paraId="00000007">
      <w:pPr>
        <w:jc w:val="both"/>
        <w:rPr>
          <w:sz w:val="16"/>
          <w:szCs w:val="16"/>
        </w:rPr>
      </w:pPr>
      <w:r w:rsidDel="00000000" w:rsidR="00000000" w:rsidRPr="00000000">
        <w:rPr>
          <w:rtl w:val="0"/>
        </w:rPr>
      </w:r>
    </w:p>
    <w:p w:rsidR="00000000" w:rsidDel="00000000" w:rsidP="00000000" w:rsidRDefault="00000000" w:rsidRPr="00000000" w14:paraId="00000008">
      <w:pPr>
        <w:jc w:val="both"/>
        <w:rPr>
          <w:sz w:val="16"/>
          <w:szCs w:val="16"/>
        </w:rPr>
      </w:pPr>
      <w:r w:rsidDel="00000000" w:rsidR="00000000" w:rsidRPr="00000000">
        <w:rPr>
          <w:rtl w:val="0"/>
        </w:rPr>
      </w:r>
    </w:p>
    <w:p w:rsidR="00000000" w:rsidDel="00000000" w:rsidP="00000000" w:rsidRDefault="00000000" w:rsidRPr="00000000" w14:paraId="00000009">
      <w:pPr>
        <w:jc w:val="both"/>
        <w:rPr>
          <w:sz w:val="16"/>
          <w:szCs w:val="16"/>
        </w:rPr>
      </w:pPr>
      <w:r w:rsidDel="00000000" w:rsidR="00000000" w:rsidRPr="00000000">
        <w:rPr>
          <w:rtl w:val="0"/>
        </w:rPr>
      </w:r>
    </w:p>
    <w:p w:rsidR="00000000" w:rsidDel="00000000" w:rsidP="00000000" w:rsidRDefault="00000000" w:rsidRPr="00000000" w14:paraId="0000000A">
      <w:pPr>
        <w:spacing w:before="80" w:line="276" w:lineRule="auto"/>
        <w:jc w:val="both"/>
        <w:rPr>
          <w:sz w:val="16"/>
          <w:szCs w:val="16"/>
        </w:rPr>
      </w:pPr>
      <w:r w:rsidDel="00000000" w:rsidR="00000000" w:rsidRPr="00000000">
        <w:rPr>
          <w:rtl w:val="0"/>
        </w:rPr>
      </w:r>
    </w:p>
    <w:p w:rsidR="00000000" w:rsidDel="00000000" w:rsidP="00000000" w:rsidRDefault="00000000" w:rsidRPr="00000000" w14:paraId="0000000B">
      <w:pPr>
        <w:spacing w:before="80" w:line="276" w:lineRule="auto"/>
        <w:jc w:val="center"/>
        <w:rPr>
          <w:b w:val="1"/>
          <w:color w:val="222222"/>
          <w:u w:val="single"/>
        </w:rPr>
      </w:pPr>
      <w:r w:rsidDel="00000000" w:rsidR="00000000" w:rsidRPr="00000000">
        <w:rPr>
          <w:rtl w:val="0"/>
        </w:rPr>
      </w:r>
    </w:p>
    <w:p w:rsidR="00000000" w:rsidDel="00000000" w:rsidP="00000000" w:rsidRDefault="00000000" w:rsidRPr="00000000" w14:paraId="0000000C">
      <w:pPr>
        <w:spacing w:line="276" w:lineRule="auto"/>
        <w:jc w:val="center"/>
        <w:rPr>
          <w:b w:val="1"/>
          <w:sz w:val="24"/>
          <w:szCs w:val="24"/>
          <w:u w:val="single"/>
        </w:rPr>
      </w:pPr>
      <w:r w:rsidDel="00000000" w:rsidR="00000000" w:rsidRPr="00000000">
        <w:rPr>
          <w:b w:val="1"/>
          <w:sz w:val="24"/>
          <w:szCs w:val="24"/>
          <w:u w:val="single"/>
          <w:rtl w:val="0"/>
        </w:rPr>
        <w:t xml:space="preserve">TZ: Sedm divů světa – unikátní mince s vyobrazením Visutých zahrad královny Semiramis</w:t>
      </w:r>
    </w:p>
    <w:p w:rsidR="00000000" w:rsidDel="00000000" w:rsidP="00000000" w:rsidRDefault="00000000" w:rsidRPr="00000000" w14:paraId="0000000D">
      <w:pPr>
        <w:spacing w:line="276" w:lineRule="auto"/>
        <w:jc w:val="both"/>
        <w:rPr>
          <w:sz w:val="24"/>
          <w:szCs w:val="24"/>
        </w:rPr>
      </w:pPr>
      <w:r w:rsidDel="00000000" w:rsidR="00000000" w:rsidRPr="00000000">
        <w:rPr>
          <w:rtl w:val="0"/>
        </w:rPr>
      </w:r>
    </w:p>
    <w:p w:rsidR="00000000" w:rsidDel="00000000" w:rsidP="00000000" w:rsidRDefault="00000000" w:rsidRPr="00000000" w14:paraId="0000000E">
      <w:pPr>
        <w:spacing w:line="276" w:lineRule="auto"/>
        <w:jc w:val="both"/>
        <w:rPr>
          <w:sz w:val="20"/>
          <w:szCs w:val="20"/>
        </w:rPr>
      </w:pPr>
      <w:r w:rsidDel="00000000" w:rsidR="00000000" w:rsidRPr="00000000">
        <w:rPr>
          <w:sz w:val="20"/>
          <w:szCs w:val="20"/>
          <w:rtl w:val="0"/>
        </w:rPr>
        <w:t xml:space="preserve">Praha, 14. května  2024</w:t>
      </w:r>
    </w:p>
    <w:p w:rsidR="00000000" w:rsidDel="00000000" w:rsidP="00000000" w:rsidRDefault="00000000" w:rsidRPr="00000000" w14:paraId="0000000F">
      <w:pPr>
        <w:spacing w:line="276" w:lineRule="auto"/>
        <w:jc w:val="both"/>
        <w:rPr>
          <w:sz w:val="24"/>
          <w:szCs w:val="24"/>
        </w:rPr>
      </w:pPr>
      <w:r w:rsidDel="00000000" w:rsidR="00000000" w:rsidRPr="00000000">
        <w:rPr>
          <w:rtl w:val="0"/>
        </w:rPr>
      </w:r>
    </w:p>
    <w:p w:rsidR="00000000" w:rsidDel="00000000" w:rsidP="00000000" w:rsidRDefault="00000000" w:rsidRPr="00000000" w14:paraId="00000010">
      <w:pPr>
        <w:spacing w:after="240" w:line="276" w:lineRule="auto"/>
        <w:jc w:val="both"/>
        <w:rPr>
          <w:i w:val="1"/>
          <w:sz w:val="24"/>
          <w:szCs w:val="24"/>
        </w:rPr>
      </w:pPr>
      <w:r w:rsidDel="00000000" w:rsidR="00000000" w:rsidRPr="00000000">
        <w:rPr>
          <w:b w:val="1"/>
          <w:i w:val="1"/>
          <w:sz w:val="24"/>
          <w:szCs w:val="24"/>
          <w:rtl w:val="0"/>
        </w:rPr>
        <w:t xml:space="preserve">I když jsou Visuté zahrady Semiramidiny označovány za pouhou legendu, o které se vedou hlavně mezi historiky a archeology dlouhé diskuze, Zlaťáky.cz jim právě teď vzdávají poctu, a to spuštěním prodeje limitovaných </w:t>
      </w:r>
      <w:hyperlink r:id="rId7">
        <w:r w:rsidDel="00000000" w:rsidR="00000000" w:rsidRPr="00000000">
          <w:rPr>
            <w:b w:val="1"/>
            <w:i w:val="1"/>
            <w:color w:val="1155cc"/>
            <w:sz w:val="24"/>
            <w:szCs w:val="24"/>
            <w:u w:val="single"/>
            <w:rtl w:val="0"/>
          </w:rPr>
          <w:t xml:space="preserve">zlatých</w:t>
        </w:r>
      </w:hyperlink>
      <w:r w:rsidDel="00000000" w:rsidR="00000000" w:rsidRPr="00000000">
        <w:rPr>
          <w:b w:val="1"/>
          <w:i w:val="1"/>
          <w:sz w:val="24"/>
          <w:szCs w:val="24"/>
          <w:rtl w:val="0"/>
        </w:rPr>
        <w:t xml:space="preserve"> a </w:t>
      </w:r>
      <w:hyperlink r:id="rId8">
        <w:r w:rsidDel="00000000" w:rsidR="00000000" w:rsidRPr="00000000">
          <w:rPr>
            <w:b w:val="1"/>
            <w:i w:val="1"/>
            <w:color w:val="1155cc"/>
            <w:sz w:val="24"/>
            <w:szCs w:val="24"/>
            <w:u w:val="single"/>
            <w:rtl w:val="0"/>
          </w:rPr>
          <w:t xml:space="preserve">stříbrných</w:t>
        </w:r>
      </w:hyperlink>
      <w:r w:rsidDel="00000000" w:rsidR="00000000" w:rsidRPr="00000000">
        <w:rPr>
          <w:b w:val="1"/>
          <w:i w:val="1"/>
          <w:sz w:val="24"/>
          <w:szCs w:val="24"/>
          <w:rtl w:val="0"/>
        </w:rPr>
        <w:t xml:space="preserve"> mincí zachycujích pohled do zahrad královského paláce. Jedná se o první mince ze série Sedm divů světa, které byly vytvořeny speciální ražbou ve čtyřech vrstvách, jež vytváří iluzi hloubky obrazu. Výsledná perspektiva tak diváka zve k návštěvě terasovitých zahrad osázených bujnou zelení. </w:t>
      </w:r>
      <w:r w:rsidDel="00000000" w:rsidR="00000000" w:rsidRPr="00000000">
        <w:rPr>
          <w:rtl w:val="0"/>
        </w:rPr>
      </w:r>
    </w:p>
    <w:p w:rsidR="00000000" w:rsidDel="00000000" w:rsidP="00000000" w:rsidRDefault="00000000" w:rsidRPr="00000000" w14:paraId="00000011">
      <w:pPr>
        <w:spacing w:after="240" w:line="276" w:lineRule="auto"/>
        <w:jc w:val="both"/>
        <w:rPr>
          <w:sz w:val="24"/>
          <w:szCs w:val="24"/>
        </w:rPr>
      </w:pPr>
      <w:r w:rsidDel="00000000" w:rsidR="00000000" w:rsidRPr="00000000">
        <w:rPr>
          <w:i w:val="1"/>
          <w:sz w:val="24"/>
          <w:szCs w:val="24"/>
          <w:rtl w:val="0"/>
        </w:rPr>
        <w:t xml:space="preserve">„Tato budoucí </w:t>
      </w:r>
      <w:r w:rsidDel="00000000" w:rsidR="00000000" w:rsidRPr="00000000">
        <w:rPr>
          <w:i w:val="1"/>
          <w:sz w:val="24"/>
          <w:szCs w:val="24"/>
          <w:rtl w:val="0"/>
        </w:rPr>
        <w:t xml:space="preserve">sedmidílná sada</w:t>
      </w:r>
      <w:r w:rsidDel="00000000" w:rsidR="00000000" w:rsidRPr="00000000">
        <w:rPr>
          <w:i w:val="1"/>
          <w:sz w:val="24"/>
          <w:szCs w:val="24"/>
          <w:rtl w:val="0"/>
        </w:rPr>
        <w:t xml:space="preserve"> plynule navazuje na již ukončenou sérii věnovanou jedinečným architektonickým stavbám. Domnívám se, že bude mít u zákazníků stejný úspěch,“</w:t>
      </w:r>
      <w:r w:rsidDel="00000000" w:rsidR="00000000" w:rsidRPr="00000000">
        <w:rPr>
          <w:sz w:val="24"/>
          <w:szCs w:val="24"/>
          <w:rtl w:val="0"/>
        </w:rPr>
        <w:t xml:space="preserve"> říká Martin Štich, ředitel společnosti Zlaťáky.cz. </w:t>
      </w:r>
    </w:p>
    <w:p w:rsidR="00000000" w:rsidDel="00000000" w:rsidP="00000000" w:rsidRDefault="00000000" w:rsidRPr="00000000" w14:paraId="00000012">
      <w:pPr>
        <w:spacing w:after="240" w:line="276" w:lineRule="auto"/>
        <w:jc w:val="center"/>
        <w:rPr>
          <w:sz w:val="24"/>
          <w:szCs w:val="24"/>
        </w:rPr>
      </w:pPr>
      <w:r w:rsidDel="00000000" w:rsidR="00000000" w:rsidRPr="00000000">
        <w:rPr>
          <w:rtl w:val="0"/>
        </w:rPr>
      </w:r>
    </w:p>
    <w:p w:rsidR="00000000" w:rsidDel="00000000" w:rsidP="00000000" w:rsidRDefault="00000000" w:rsidRPr="00000000" w14:paraId="00000013">
      <w:pPr>
        <w:spacing w:after="240" w:line="276" w:lineRule="auto"/>
        <w:jc w:val="center"/>
        <w:rPr>
          <w:sz w:val="24"/>
          <w:szCs w:val="24"/>
        </w:rPr>
      </w:pPr>
      <w:r w:rsidDel="00000000" w:rsidR="00000000" w:rsidRPr="00000000">
        <w:rPr>
          <w:sz w:val="24"/>
          <w:szCs w:val="24"/>
        </w:rPr>
        <w:drawing>
          <wp:inline distB="114300" distT="114300" distL="114300" distR="114300">
            <wp:extent cx="4392450" cy="2677892"/>
            <wp:effectExtent b="0" l="0" r="0" t="0"/>
            <wp:docPr id="4"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4392450" cy="2677892"/>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15">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16">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17">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18">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19">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1A">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1B">
      <w:pPr>
        <w:spacing w:after="240" w:line="276" w:lineRule="auto"/>
        <w:jc w:val="both"/>
        <w:rPr>
          <w:sz w:val="24"/>
          <w:szCs w:val="24"/>
        </w:rPr>
      </w:pPr>
      <w:r w:rsidDel="00000000" w:rsidR="00000000" w:rsidRPr="00000000">
        <w:rPr>
          <w:sz w:val="24"/>
          <w:szCs w:val="24"/>
          <w:rtl w:val="0"/>
        </w:rPr>
        <w:t xml:space="preserve">Mince, s ryzostí 99,9% vzácného kovu a o váze 100 g, na svém rubu zachycuje pohled na terasy zahrad. Vchod s vodním kanálem stráží dvojice soch šedú – ochranných démonů s tělem býka a hlavou vousatého muže. Motiv doplňuje v horní části název mince </w:t>
      </w:r>
      <w:r w:rsidDel="00000000" w:rsidR="00000000" w:rsidRPr="00000000">
        <w:rPr>
          <w:i w:val="1"/>
          <w:sz w:val="24"/>
          <w:szCs w:val="24"/>
          <w:rtl w:val="0"/>
        </w:rPr>
        <w:t xml:space="preserve">„Gardens of Babylon“</w:t>
      </w:r>
      <w:r w:rsidDel="00000000" w:rsidR="00000000" w:rsidRPr="00000000">
        <w:rPr>
          <w:sz w:val="24"/>
          <w:szCs w:val="24"/>
          <w:rtl w:val="0"/>
        </w:rPr>
        <w:t xml:space="preserve">, v dolní části rok emise </w:t>
      </w:r>
      <w:r w:rsidDel="00000000" w:rsidR="00000000" w:rsidRPr="00000000">
        <w:rPr>
          <w:i w:val="1"/>
          <w:sz w:val="24"/>
          <w:szCs w:val="24"/>
          <w:rtl w:val="0"/>
        </w:rPr>
        <w:t xml:space="preserve">„2024“</w:t>
      </w:r>
      <w:r w:rsidDel="00000000" w:rsidR="00000000" w:rsidRPr="00000000">
        <w:rPr>
          <w:sz w:val="24"/>
          <w:szCs w:val="24"/>
          <w:rtl w:val="0"/>
        </w:rPr>
        <w:t xml:space="preserve"> a vpravo od něj logo série </w:t>
      </w:r>
      <w:r w:rsidDel="00000000" w:rsidR="00000000" w:rsidRPr="00000000">
        <w:rPr>
          <w:i w:val="1"/>
          <w:sz w:val="24"/>
          <w:szCs w:val="24"/>
          <w:rtl w:val="0"/>
        </w:rPr>
        <w:t xml:space="preserve">„7 Wonders“</w:t>
      </w:r>
      <w:r w:rsidDel="00000000" w:rsidR="00000000" w:rsidRPr="00000000">
        <w:rPr>
          <w:sz w:val="24"/>
          <w:szCs w:val="24"/>
          <w:rtl w:val="0"/>
        </w:rPr>
        <w:t xml:space="preserve">.</w:t>
      </w:r>
    </w:p>
    <w:p w:rsidR="00000000" w:rsidDel="00000000" w:rsidP="00000000" w:rsidRDefault="00000000" w:rsidRPr="00000000" w14:paraId="0000001C">
      <w:pPr>
        <w:spacing w:after="240" w:line="276" w:lineRule="auto"/>
        <w:jc w:val="both"/>
        <w:rPr>
          <w:sz w:val="24"/>
          <w:szCs w:val="24"/>
        </w:rPr>
      </w:pPr>
      <w:r w:rsidDel="00000000" w:rsidR="00000000" w:rsidRPr="00000000">
        <w:rPr>
          <w:sz w:val="24"/>
          <w:szCs w:val="24"/>
          <w:rtl w:val="0"/>
        </w:rPr>
        <w:t xml:space="preserve">Líc zobrazuje portrét Karla III. podle návrhu velšského ilustrátora a designéra Dana Thornea s iniciály </w:t>
      </w:r>
      <w:r w:rsidDel="00000000" w:rsidR="00000000" w:rsidRPr="00000000">
        <w:rPr>
          <w:i w:val="1"/>
          <w:sz w:val="24"/>
          <w:szCs w:val="24"/>
          <w:rtl w:val="0"/>
        </w:rPr>
        <w:t xml:space="preserve">„DT“</w:t>
      </w:r>
      <w:r w:rsidDel="00000000" w:rsidR="00000000" w:rsidRPr="00000000">
        <w:rPr>
          <w:sz w:val="24"/>
          <w:szCs w:val="24"/>
          <w:rtl w:val="0"/>
        </w:rPr>
        <w:t xml:space="preserve">. Jedná se o oficiální podobiznu pro mince Commonwealthu navrženou </w:t>
      </w:r>
      <w:r w:rsidDel="00000000" w:rsidR="00000000" w:rsidRPr="00000000">
        <w:rPr>
          <w:sz w:val="24"/>
          <w:szCs w:val="24"/>
          <w:rtl w:val="0"/>
        </w:rPr>
        <w:t xml:space="preserve">britskou</w:t>
      </w:r>
      <w:r w:rsidDel="00000000" w:rsidR="00000000" w:rsidRPr="00000000">
        <w:rPr>
          <w:sz w:val="24"/>
          <w:szCs w:val="24"/>
          <w:rtl w:val="0"/>
        </w:rPr>
        <w:t xml:space="preserve"> mincovnou The Royal Mint a schválenou králem. Okruží mince provází nápisy </w:t>
      </w:r>
      <w:r w:rsidDel="00000000" w:rsidR="00000000" w:rsidRPr="00000000">
        <w:rPr>
          <w:i w:val="1"/>
          <w:sz w:val="24"/>
          <w:szCs w:val="24"/>
          <w:rtl w:val="0"/>
        </w:rPr>
        <w:t xml:space="preserve">„Charles III“</w:t>
      </w:r>
      <w:r w:rsidDel="00000000" w:rsidR="00000000" w:rsidRPr="00000000">
        <w:rPr>
          <w:sz w:val="24"/>
          <w:szCs w:val="24"/>
          <w:rtl w:val="0"/>
        </w:rPr>
        <w:t xml:space="preserve">, </w:t>
      </w:r>
      <w:r w:rsidDel="00000000" w:rsidR="00000000" w:rsidRPr="00000000">
        <w:rPr>
          <w:i w:val="1"/>
          <w:sz w:val="24"/>
          <w:szCs w:val="24"/>
          <w:rtl w:val="0"/>
        </w:rPr>
        <w:t xml:space="preserve">„Solomon Islands“</w:t>
      </w:r>
      <w:r w:rsidDel="00000000" w:rsidR="00000000" w:rsidRPr="00000000">
        <w:rPr>
          <w:sz w:val="24"/>
          <w:szCs w:val="24"/>
          <w:rtl w:val="0"/>
        </w:rPr>
        <w:t xml:space="preserve">, údaje o váze a ryzosti kovu               a nominální hodnota. </w:t>
      </w:r>
    </w:p>
    <w:p w:rsidR="00000000" w:rsidDel="00000000" w:rsidP="00000000" w:rsidRDefault="00000000" w:rsidRPr="00000000" w14:paraId="0000001D">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1E">
      <w:pPr>
        <w:spacing w:after="240" w:line="276" w:lineRule="auto"/>
        <w:jc w:val="center"/>
        <w:rPr>
          <w:i w:val="1"/>
          <w:sz w:val="24"/>
          <w:szCs w:val="24"/>
        </w:rPr>
      </w:pPr>
      <w:r w:rsidDel="00000000" w:rsidR="00000000" w:rsidRPr="00000000">
        <w:rPr>
          <w:i w:val="1"/>
          <w:sz w:val="24"/>
          <w:szCs w:val="24"/>
        </w:rPr>
        <w:drawing>
          <wp:inline distB="114300" distT="114300" distL="114300" distR="114300">
            <wp:extent cx="4811550" cy="2930277"/>
            <wp:effectExtent b="0" l="0" r="0" t="0"/>
            <wp:docPr id="3"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4811550" cy="2930277"/>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after="240" w:line="276" w:lineRule="auto"/>
        <w:jc w:val="both"/>
        <w:rPr>
          <w:i w:val="1"/>
          <w:sz w:val="24"/>
          <w:szCs w:val="24"/>
        </w:rPr>
      </w:pPr>
      <w:r w:rsidDel="00000000" w:rsidR="00000000" w:rsidRPr="00000000">
        <w:rPr>
          <w:rtl w:val="0"/>
        </w:rPr>
      </w:r>
    </w:p>
    <w:p w:rsidR="00000000" w:rsidDel="00000000" w:rsidP="00000000" w:rsidRDefault="00000000" w:rsidRPr="00000000" w14:paraId="00000020">
      <w:pPr>
        <w:spacing w:after="240" w:line="276" w:lineRule="auto"/>
        <w:jc w:val="both"/>
        <w:rPr>
          <w:i w:val="1"/>
          <w:sz w:val="24"/>
          <w:szCs w:val="24"/>
        </w:rPr>
      </w:pPr>
      <w:r w:rsidDel="00000000" w:rsidR="00000000" w:rsidRPr="00000000">
        <w:rPr>
          <w:rtl w:val="0"/>
        </w:rPr>
      </w:r>
    </w:p>
    <w:p w:rsidR="00000000" w:rsidDel="00000000" w:rsidP="00000000" w:rsidRDefault="00000000" w:rsidRPr="00000000" w14:paraId="00000021">
      <w:pPr>
        <w:spacing w:after="240" w:line="276" w:lineRule="auto"/>
        <w:jc w:val="both"/>
        <w:rPr>
          <w:i w:val="1"/>
          <w:sz w:val="24"/>
          <w:szCs w:val="24"/>
        </w:rPr>
      </w:pPr>
      <w:r w:rsidDel="00000000" w:rsidR="00000000" w:rsidRPr="00000000">
        <w:rPr>
          <w:rtl w:val="0"/>
        </w:rPr>
      </w:r>
    </w:p>
    <w:p w:rsidR="00000000" w:rsidDel="00000000" w:rsidP="00000000" w:rsidRDefault="00000000" w:rsidRPr="00000000" w14:paraId="00000022">
      <w:pPr>
        <w:spacing w:after="240" w:line="276" w:lineRule="auto"/>
        <w:jc w:val="both"/>
        <w:rPr>
          <w:i w:val="1"/>
          <w:sz w:val="24"/>
          <w:szCs w:val="24"/>
        </w:rPr>
      </w:pPr>
      <w:r w:rsidDel="00000000" w:rsidR="00000000" w:rsidRPr="00000000">
        <w:rPr>
          <w:rtl w:val="0"/>
        </w:rPr>
      </w:r>
    </w:p>
    <w:p w:rsidR="00000000" w:rsidDel="00000000" w:rsidP="00000000" w:rsidRDefault="00000000" w:rsidRPr="00000000" w14:paraId="00000023">
      <w:pPr>
        <w:spacing w:after="240" w:line="276" w:lineRule="auto"/>
        <w:jc w:val="both"/>
        <w:rPr>
          <w:i w:val="1"/>
          <w:sz w:val="24"/>
          <w:szCs w:val="24"/>
        </w:rPr>
      </w:pPr>
      <w:r w:rsidDel="00000000" w:rsidR="00000000" w:rsidRPr="00000000">
        <w:rPr>
          <w:rtl w:val="0"/>
        </w:rPr>
      </w:r>
    </w:p>
    <w:p w:rsidR="00000000" w:rsidDel="00000000" w:rsidP="00000000" w:rsidRDefault="00000000" w:rsidRPr="00000000" w14:paraId="00000024">
      <w:pPr>
        <w:spacing w:after="240" w:line="276" w:lineRule="auto"/>
        <w:jc w:val="both"/>
        <w:rPr>
          <w:i w:val="1"/>
          <w:sz w:val="24"/>
          <w:szCs w:val="24"/>
        </w:rPr>
      </w:pPr>
      <w:r w:rsidDel="00000000" w:rsidR="00000000" w:rsidRPr="00000000">
        <w:rPr>
          <w:rtl w:val="0"/>
        </w:rPr>
      </w:r>
    </w:p>
    <w:p w:rsidR="00000000" w:rsidDel="00000000" w:rsidP="00000000" w:rsidRDefault="00000000" w:rsidRPr="00000000" w14:paraId="00000025">
      <w:pPr>
        <w:spacing w:after="240" w:line="276" w:lineRule="auto"/>
        <w:jc w:val="both"/>
        <w:rPr>
          <w:i w:val="1"/>
          <w:sz w:val="24"/>
          <w:szCs w:val="24"/>
        </w:rPr>
      </w:pPr>
      <w:r w:rsidDel="00000000" w:rsidR="00000000" w:rsidRPr="00000000">
        <w:rPr>
          <w:rtl w:val="0"/>
        </w:rPr>
      </w:r>
    </w:p>
    <w:p w:rsidR="00000000" w:rsidDel="00000000" w:rsidP="00000000" w:rsidRDefault="00000000" w:rsidRPr="00000000" w14:paraId="00000026">
      <w:pPr>
        <w:spacing w:after="240" w:line="276" w:lineRule="auto"/>
        <w:jc w:val="both"/>
        <w:rPr>
          <w:i w:val="1"/>
          <w:sz w:val="24"/>
          <w:szCs w:val="24"/>
        </w:rPr>
      </w:pPr>
      <w:r w:rsidDel="00000000" w:rsidR="00000000" w:rsidRPr="00000000">
        <w:rPr>
          <w:rtl w:val="0"/>
        </w:rPr>
      </w:r>
    </w:p>
    <w:p w:rsidR="00000000" w:rsidDel="00000000" w:rsidP="00000000" w:rsidRDefault="00000000" w:rsidRPr="00000000" w14:paraId="00000027">
      <w:pPr>
        <w:spacing w:after="240" w:line="276" w:lineRule="auto"/>
        <w:jc w:val="both"/>
        <w:rPr>
          <w:i w:val="1"/>
          <w:sz w:val="24"/>
          <w:szCs w:val="24"/>
        </w:rPr>
      </w:pPr>
      <w:r w:rsidDel="00000000" w:rsidR="00000000" w:rsidRPr="00000000">
        <w:rPr>
          <w:rtl w:val="0"/>
        </w:rPr>
      </w:r>
    </w:p>
    <w:p w:rsidR="00000000" w:rsidDel="00000000" w:rsidP="00000000" w:rsidRDefault="00000000" w:rsidRPr="00000000" w14:paraId="00000028">
      <w:pPr>
        <w:spacing w:after="240" w:line="276" w:lineRule="auto"/>
        <w:jc w:val="both"/>
        <w:rPr>
          <w:sz w:val="24"/>
          <w:szCs w:val="24"/>
        </w:rPr>
      </w:pPr>
      <w:r w:rsidDel="00000000" w:rsidR="00000000" w:rsidRPr="00000000">
        <w:rPr>
          <w:i w:val="1"/>
          <w:sz w:val="24"/>
          <w:szCs w:val="24"/>
          <w:rtl w:val="0"/>
        </w:rPr>
        <w:t xml:space="preserve">„Tato sběratelská kolekce se může stát součástí správně vyváženého portfolia s možným potenciálem budoucího zhodnocení. Mince ocení především milovníci historie, jimž se naskýtá možnost vlastnit "starověké" divy světa ve formě investice do vzácných kovů. Zahrady Babylónu vynikají precizním zpracováním, nízkým počtem vyražených kusů a hlavně atraktivním motivem,“ </w:t>
      </w:r>
      <w:r w:rsidDel="00000000" w:rsidR="00000000" w:rsidRPr="00000000">
        <w:rPr>
          <w:sz w:val="24"/>
          <w:szCs w:val="24"/>
          <w:rtl w:val="0"/>
        </w:rPr>
        <w:t xml:space="preserve">doplňuje Jakub Petruška, analytik společnosti Zlaťáky.cz. </w:t>
      </w:r>
      <w:r w:rsidDel="00000000" w:rsidR="00000000" w:rsidRPr="00000000">
        <w:rPr>
          <w:rtl w:val="0"/>
        </w:rPr>
      </w:r>
    </w:p>
    <w:p w:rsidR="00000000" w:rsidDel="00000000" w:rsidP="00000000" w:rsidRDefault="00000000" w:rsidRPr="00000000" w14:paraId="00000029">
      <w:pPr>
        <w:spacing w:after="240" w:line="276" w:lineRule="auto"/>
        <w:jc w:val="both"/>
        <w:rPr>
          <w:sz w:val="24"/>
          <w:szCs w:val="24"/>
        </w:rPr>
      </w:pPr>
      <w:r w:rsidDel="00000000" w:rsidR="00000000" w:rsidRPr="00000000">
        <w:rPr>
          <w:sz w:val="24"/>
          <w:szCs w:val="24"/>
          <w:rtl w:val="0"/>
        </w:rPr>
        <w:t xml:space="preserve">Visuté zahrady s umělým zavlažováním nechala dle legendy postavit babylonská královna </w:t>
      </w:r>
      <w:hyperlink r:id="rId11">
        <w:r w:rsidDel="00000000" w:rsidR="00000000" w:rsidRPr="00000000">
          <w:rPr>
            <w:sz w:val="24"/>
            <w:szCs w:val="24"/>
            <w:rtl w:val="0"/>
          </w:rPr>
          <w:t xml:space="preserve">Semiramis</w:t>
        </w:r>
      </w:hyperlink>
      <w:r w:rsidDel="00000000" w:rsidR="00000000" w:rsidRPr="00000000">
        <w:rPr>
          <w:sz w:val="24"/>
          <w:szCs w:val="24"/>
          <w:rtl w:val="0"/>
        </w:rPr>
        <w:t xml:space="preserve">, pravděpodobně je však vybudoval až král </w:t>
      </w:r>
      <w:hyperlink r:id="rId12">
        <w:r w:rsidDel="00000000" w:rsidR="00000000" w:rsidRPr="00000000">
          <w:rPr>
            <w:sz w:val="24"/>
            <w:szCs w:val="24"/>
            <w:rtl w:val="0"/>
          </w:rPr>
          <w:t xml:space="preserve">Nebukadnesar II.</w:t>
        </w:r>
      </w:hyperlink>
      <w:r w:rsidDel="00000000" w:rsidR="00000000" w:rsidRPr="00000000">
        <w:rPr>
          <w:sz w:val="24"/>
          <w:szCs w:val="24"/>
          <w:rtl w:val="0"/>
        </w:rPr>
        <w:t xml:space="preserve">         v šestém století př. n. l. pro svou manželku Amytis, která v sídle krále postrádala rozmanitou zeleň rostoucí v horách své domovské </w:t>
      </w:r>
      <w:r w:rsidDel="00000000" w:rsidR="00000000" w:rsidRPr="00000000">
        <w:rPr>
          <w:sz w:val="24"/>
          <w:szCs w:val="24"/>
          <w:rtl w:val="0"/>
        </w:rPr>
        <w:t xml:space="preserve">Médie</w:t>
      </w:r>
      <w:r w:rsidDel="00000000" w:rsidR="00000000" w:rsidRPr="00000000">
        <w:rPr>
          <w:sz w:val="24"/>
          <w:szCs w:val="24"/>
          <w:rtl w:val="0"/>
        </w:rPr>
        <w:t xml:space="preserve">.</w:t>
      </w:r>
    </w:p>
    <w:p w:rsidR="00000000" w:rsidDel="00000000" w:rsidP="00000000" w:rsidRDefault="00000000" w:rsidRPr="00000000" w14:paraId="0000002A">
      <w:pPr>
        <w:spacing w:after="240" w:line="276" w:lineRule="auto"/>
        <w:jc w:val="center"/>
        <w:rPr>
          <w:sz w:val="24"/>
          <w:szCs w:val="24"/>
        </w:rPr>
      </w:pPr>
      <w:r w:rsidDel="00000000" w:rsidR="00000000" w:rsidRPr="00000000">
        <w:rPr>
          <w:sz w:val="24"/>
          <w:szCs w:val="24"/>
        </w:rPr>
        <w:drawing>
          <wp:inline distB="114300" distT="114300" distL="114300" distR="114300">
            <wp:extent cx="5167313" cy="3150172"/>
            <wp:effectExtent b="0" l="0" r="0" t="0"/>
            <wp:docPr id="2"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5167313" cy="3150172"/>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2C">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2D">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2E">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2F">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30">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31">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32">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33">
      <w:pPr>
        <w:spacing w:after="240" w:line="276" w:lineRule="auto"/>
        <w:jc w:val="both"/>
        <w:rPr>
          <w:sz w:val="24"/>
          <w:szCs w:val="24"/>
        </w:rPr>
      </w:pPr>
      <w:r w:rsidDel="00000000" w:rsidR="00000000" w:rsidRPr="00000000">
        <w:rPr>
          <w:rtl w:val="0"/>
        </w:rPr>
      </w:r>
    </w:p>
    <w:p w:rsidR="00000000" w:rsidDel="00000000" w:rsidP="00000000" w:rsidRDefault="00000000" w:rsidRPr="00000000" w14:paraId="00000034">
      <w:pPr>
        <w:spacing w:after="240" w:line="276" w:lineRule="auto"/>
        <w:jc w:val="both"/>
        <w:rPr>
          <w:sz w:val="24"/>
          <w:szCs w:val="24"/>
        </w:rPr>
      </w:pPr>
      <w:r w:rsidDel="00000000" w:rsidR="00000000" w:rsidRPr="00000000">
        <w:rPr>
          <w:sz w:val="24"/>
          <w:szCs w:val="24"/>
          <w:rtl w:val="0"/>
        </w:rPr>
        <w:t xml:space="preserve">To, že visuté zahrady nemusely být pouhou pohádkou, doložil archeolog Robert Koldewey (objevitel Babylonu), když na pahorku Karsu objevil podivné klenby, což by nebylo nic neobyčejného. Byly to však první klenby nalezené v Mezopotámii. Přikázal dělníkům kopat dál a objevoval například sloupy z kamene (kámen byl v Mezopotámii jedním z nejvzácnějších stavebních materiálů), dále studnu s trojitou spirálovitou šachtou. Historické popisky zahrad se navíc shodovaly s průřezem nalezeného komplexu u Karsu. Archeolog </w:t>
      </w:r>
      <w:r w:rsidDel="00000000" w:rsidR="00000000" w:rsidRPr="00000000">
        <w:rPr>
          <w:sz w:val="24"/>
          <w:szCs w:val="24"/>
          <w:rtl w:val="0"/>
        </w:rPr>
        <w:t xml:space="preserve">byl</w:t>
      </w:r>
      <w:r w:rsidDel="00000000" w:rsidR="00000000" w:rsidRPr="00000000">
        <w:rPr>
          <w:sz w:val="24"/>
          <w:szCs w:val="24"/>
          <w:rtl w:val="0"/>
        </w:rPr>
        <w:t xml:space="preserve"> tedy přesvědčen, že objevil právě visuté zahrady. To ale nebylo nikdy potvrzeno. </w:t>
      </w:r>
    </w:p>
    <w:p w:rsidR="00000000" w:rsidDel="00000000" w:rsidP="00000000" w:rsidRDefault="00000000" w:rsidRPr="00000000" w14:paraId="00000035">
      <w:pPr>
        <w:spacing w:after="240" w:line="276" w:lineRule="auto"/>
        <w:jc w:val="both"/>
        <w:rPr>
          <w:color w:val="222222"/>
        </w:rPr>
      </w:pPr>
      <w:r w:rsidDel="00000000" w:rsidR="00000000" w:rsidRPr="00000000">
        <w:rPr>
          <w:sz w:val="24"/>
          <w:szCs w:val="24"/>
          <w:rtl w:val="0"/>
        </w:rPr>
        <w:t xml:space="preserve">I když jiné stavby překonávaly visuté zahrady svou velikostí a </w:t>
      </w:r>
      <w:r w:rsidDel="00000000" w:rsidR="00000000" w:rsidRPr="00000000">
        <w:rPr>
          <w:sz w:val="24"/>
          <w:szCs w:val="24"/>
          <w:rtl w:val="0"/>
        </w:rPr>
        <w:t xml:space="preserve">nákladností</w:t>
      </w:r>
      <w:r w:rsidDel="00000000" w:rsidR="00000000" w:rsidRPr="00000000">
        <w:rPr>
          <w:sz w:val="24"/>
          <w:szCs w:val="24"/>
          <w:rtl w:val="0"/>
        </w:rPr>
        <w:t xml:space="preserve">, visuté zahrady nad nimi vynikaly originalitou, jedinečností, technikou, odvážností stavby                    a důmyslností čerpacího zařízení. O jejich </w:t>
      </w:r>
      <w:r w:rsidDel="00000000" w:rsidR="00000000" w:rsidRPr="00000000">
        <w:rPr>
          <w:sz w:val="24"/>
          <w:szCs w:val="24"/>
          <w:rtl w:val="0"/>
        </w:rPr>
        <w:t xml:space="preserve">bájné</w:t>
      </w:r>
      <w:r w:rsidDel="00000000" w:rsidR="00000000" w:rsidRPr="00000000">
        <w:rPr>
          <w:sz w:val="24"/>
          <w:szCs w:val="24"/>
          <w:rtl w:val="0"/>
        </w:rPr>
        <w:t xml:space="preserve"> kráse se ostatně můžete přesvědčit i na prvních mincích ze série Sedm divů světa, které jsou dostupné na </w:t>
      </w:r>
      <w:hyperlink r:id="rId14">
        <w:r w:rsidDel="00000000" w:rsidR="00000000" w:rsidRPr="00000000">
          <w:rPr>
            <w:color w:val="1155cc"/>
            <w:sz w:val="24"/>
            <w:szCs w:val="24"/>
            <w:u w:val="single"/>
            <w:rtl w:val="0"/>
          </w:rPr>
          <w:t xml:space="preserve">e-shopu</w:t>
        </w:r>
      </w:hyperlink>
      <w:r w:rsidDel="00000000" w:rsidR="00000000" w:rsidRPr="00000000">
        <w:rPr>
          <w:sz w:val="24"/>
          <w:szCs w:val="24"/>
          <w:rtl w:val="0"/>
        </w:rPr>
        <w:t xml:space="preserve"> a vystaveny v kamenné prodejně Zlaťáky.cz v pražském nákupním centru OC Sykora.</w:t>
      </w:r>
      <w:r w:rsidDel="00000000" w:rsidR="00000000" w:rsidRPr="00000000">
        <w:rPr>
          <w:rtl w:val="0"/>
        </w:rPr>
      </w:r>
    </w:p>
    <w:p w:rsidR="00000000" w:rsidDel="00000000" w:rsidP="00000000" w:rsidRDefault="00000000" w:rsidRPr="00000000" w14:paraId="00000036">
      <w:pPr>
        <w:spacing w:after="240" w:line="276" w:lineRule="auto"/>
        <w:jc w:val="both"/>
        <w:rPr>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spacing w:before="120" w:line="276" w:lineRule="auto"/>
        <w:jc w:val="both"/>
        <w:rPr>
          <w:b w:val="1"/>
          <w:sz w:val="20"/>
          <w:szCs w:val="20"/>
        </w:rPr>
      </w:pPr>
      <w:r w:rsidDel="00000000" w:rsidR="00000000" w:rsidRPr="00000000">
        <w:rPr>
          <w:rtl w:val="0"/>
        </w:rPr>
      </w:r>
    </w:p>
    <w:p w:rsidR="00000000" w:rsidDel="00000000" w:rsidP="00000000" w:rsidRDefault="00000000" w:rsidRPr="00000000" w14:paraId="00000038">
      <w:pPr>
        <w:spacing w:before="120" w:line="276" w:lineRule="auto"/>
        <w:jc w:val="both"/>
        <w:rPr>
          <w:b w:val="1"/>
          <w:sz w:val="20"/>
          <w:szCs w:val="20"/>
        </w:rPr>
      </w:pPr>
      <w:r w:rsidDel="00000000" w:rsidR="00000000" w:rsidRPr="00000000">
        <w:rPr>
          <w:b w:val="1"/>
          <w:sz w:val="20"/>
          <w:szCs w:val="20"/>
          <w:rtl w:val="0"/>
        </w:rPr>
        <w:t xml:space="preserve">Společnost Zlaťáky.cz</w:t>
      </w:r>
      <w:r w:rsidDel="00000000" w:rsidR="00000000" w:rsidRPr="00000000">
        <w:rPr>
          <w:sz w:val="20"/>
          <w:szCs w:val="20"/>
          <w:rtl w:val="0"/>
        </w:rPr>
        <w:t xml:space="preserve"> vznikla v roce 2006 a specializuje se na nákup a prodej investičního zlata, stříbra a numismatiky. Se vstupem nového majitele se rozrostla prodejní síť i sortiment zboží a poskytovaných služeb. Dynamický růst miliardové firmy podpořila modernizace e-shopu, vytvoření konsolidačního skladu, navýšení skladových zásob zlata i stříbra a otevření nových kamenných poboček. V současné době má společnost devět prodejen v Česku a na Slovensku. </w:t>
      </w:r>
      <w:r w:rsidDel="00000000" w:rsidR="00000000" w:rsidRPr="00000000">
        <w:rPr>
          <w:rtl w:val="0"/>
        </w:rPr>
      </w:r>
    </w:p>
    <w:p w:rsidR="00000000" w:rsidDel="00000000" w:rsidP="00000000" w:rsidRDefault="00000000" w:rsidRPr="00000000" w14:paraId="00000039">
      <w:pPr>
        <w:spacing w:line="276" w:lineRule="auto"/>
        <w:jc w:val="both"/>
        <w:rPr>
          <w:b w:val="1"/>
          <w:sz w:val="20"/>
          <w:szCs w:val="20"/>
          <w:highlight w:val="white"/>
        </w:rPr>
      </w:pPr>
      <w:r w:rsidDel="00000000" w:rsidR="00000000" w:rsidRPr="00000000">
        <w:rPr>
          <w:rtl w:val="0"/>
        </w:rPr>
      </w:r>
    </w:p>
    <w:p w:rsidR="00000000" w:rsidDel="00000000" w:rsidP="00000000" w:rsidRDefault="00000000" w:rsidRPr="00000000" w14:paraId="0000003A">
      <w:pPr>
        <w:spacing w:line="331" w:lineRule="auto"/>
        <w:jc w:val="both"/>
        <w:rPr>
          <w:b w:val="1"/>
          <w:sz w:val="20"/>
          <w:szCs w:val="20"/>
        </w:rPr>
      </w:pPr>
      <w:r w:rsidDel="00000000" w:rsidR="00000000" w:rsidRPr="00000000">
        <w:rPr>
          <w:b w:val="1"/>
          <w:sz w:val="20"/>
          <w:szCs w:val="20"/>
          <w:rtl w:val="0"/>
        </w:rPr>
        <w:t xml:space="preserve">Kontakt pro média: </w:t>
      </w:r>
    </w:p>
    <w:p w:rsidR="00000000" w:rsidDel="00000000" w:rsidP="00000000" w:rsidRDefault="00000000" w:rsidRPr="00000000" w14:paraId="0000003B">
      <w:pPr>
        <w:spacing w:line="276" w:lineRule="auto"/>
        <w:jc w:val="both"/>
        <w:rPr>
          <w:sz w:val="20"/>
          <w:szCs w:val="20"/>
        </w:rPr>
      </w:pPr>
      <w:r w:rsidDel="00000000" w:rsidR="00000000" w:rsidRPr="00000000">
        <w:rPr>
          <w:rtl w:val="0"/>
        </w:rPr>
      </w:r>
    </w:p>
    <w:p w:rsidR="00000000" w:rsidDel="00000000" w:rsidP="00000000" w:rsidRDefault="00000000" w:rsidRPr="00000000" w14:paraId="0000003C">
      <w:pPr>
        <w:spacing w:line="331" w:lineRule="auto"/>
        <w:jc w:val="both"/>
        <w:rPr>
          <w:sz w:val="20"/>
          <w:szCs w:val="20"/>
        </w:rPr>
      </w:pPr>
      <w:r w:rsidDel="00000000" w:rsidR="00000000" w:rsidRPr="00000000">
        <w:rPr>
          <w:sz w:val="20"/>
          <w:szCs w:val="20"/>
          <w:rtl w:val="0"/>
        </w:rPr>
        <w:t xml:space="preserve">Dominika Bártová</w:t>
      </w:r>
    </w:p>
    <w:p w:rsidR="00000000" w:rsidDel="00000000" w:rsidP="00000000" w:rsidRDefault="00000000" w:rsidRPr="00000000" w14:paraId="0000003D">
      <w:pPr>
        <w:spacing w:line="331" w:lineRule="auto"/>
        <w:jc w:val="both"/>
        <w:rPr>
          <w:sz w:val="20"/>
          <w:szCs w:val="20"/>
        </w:rPr>
      </w:pPr>
      <w:r w:rsidDel="00000000" w:rsidR="00000000" w:rsidRPr="00000000">
        <w:rPr>
          <w:sz w:val="20"/>
          <w:szCs w:val="20"/>
          <w:rtl w:val="0"/>
        </w:rPr>
        <w:t xml:space="preserve">PR Manager Zlaťáky.cz</w:t>
      </w:r>
    </w:p>
    <w:p w:rsidR="00000000" w:rsidDel="00000000" w:rsidP="00000000" w:rsidRDefault="00000000" w:rsidRPr="00000000" w14:paraId="0000003E">
      <w:pPr>
        <w:spacing w:line="331" w:lineRule="auto"/>
        <w:jc w:val="both"/>
        <w:rPr>
          <w:sz w:val="20"/>
          <w:szCs w:val="20"/>
        </w:rPr>
      </w:pPr>
      <w:r w:rsidDel="00000000" w:rsidR="00000000" w:rsidRPr="00000000">
        <w:rPr>
          <w:sz w:val="20"/>
          <w:szCs w:val="20"/>
          <w:rtl w:val="0"/>
        </w:rPr>
        <w:t xml:space="preserve">Tel.: 607 846 988</w:t>
      </w:r>
    </w:p>
    <w:p w:rsidR="00000000" w:rsidDel="00000000" w:rsidP="00000000" w:rsidRDefault="00000000" w:rsidRPr="00000000" w14:paraId="0000003F">
      <w:pPr>
        <w:spacing w:line="331" w:lineRule="auto"/>
        <w:jc w:val="both"/>
        <w:rPr>
          <w:sz w:val="20"/>
          <w:szCs w:val="20"/>
        </w:rPr>
      </w:pPr>
      <w:r w:rsidDel="00000000" w:rsidR="00000000" w:rsidRPr="00000000">
        <w:rPr>
          <w:sz w:val="20"/>
          <w:szCs w:val="20"/>
          <w:rtl w:val="0"/>
        </w:rPr>
        <w:t xml:space="preserve">E-mail: </w:t>
      </w:r>
      <w:hyperlink r:id="rId15">
        <w:r w:rsidDel="00000000" w:rsidR="00000000" w:rsidRPr="00000000">
          <w:rPr>
            <w:color w:val="1155cc"/>
            <w:sz w:val="20"/>
            <w:szCs w:val="20"/>
            <w:u w:val="single"/>
            <w:rtl w:val="0"/>
          </w:rPr>
          <w:t xml:space="preserve">dominika.bartova@zlataky.cz</w:t>
        </w:r>
      </w:hyperlink>
      <w:r w:rsidDel="00000000" w:rsidR="00000000" w:rsidRPr="00000000">
        <w:rPr>
          <w:rtl w:val="0"/>
        </w:rPr>
      </w:r>
    </w:p>
    <w:p w:rsidR="00000000" w:rsidDel="00000000" w:rsidP="00000000" w:rsidRDefault="00000000" w:rsidRPr="00000000" w14:paraId="00000040">
      <w:pPr>
        <w:spacing w:line="331" w:lineRule="auto"/>
        <w:jc w:val="both"/>
        <w:rPr>
          <w:sz w:val="20"/>
          <w:szCs w:val="20"/>
        </w:rPr>
      </w:pPr>
      <w:r w:rsidDel="00000000" w:rsidR="00000000" w:rsidRPr="00000000">
        <w:rPr>
          <w:rtl w:val="0"/>
        </w:rPr>
      </w:r>
    </w:p>
    <w:p w:rsidR="00000000" w:rsidDel="00000000" w:rsidP="00000000" w:rsidRDefault="00000000" w:rsidRPr="00000000" w14:paraId="00000041">
      <w:pPr>
        <w:spacing w:line="276" w:lineRule="auto"/>
        <w:jc w:val="both"/>
        <w:rPr>
          <w:b w:val="1"/>
          <w:sz w:val="20"/>
          <w:szCs w:val="20"/>
        </w:rPr>
      </w:pPr>
      <w:r w:rsidDel="00000000" w:rsidR="00000000" w:rsidRPr="00000000">
        <w:rPr>
          <w:rtl w:val="0"/>
        </w:rPr>
      </w:r>
    </w:p>
    <w:p w:rsidR="00000000" w:rsidDel="00000000" w:rsidP="00000000" w:rsidRDefault="00000000" w:rsidRPr="00000000" w14:paraId="00000042">
      <w:pPr>
        <w:spacing w:line="276" w:lineRule="auto"/>
        <w:jc w:val="both"/>
        <w:rPr>
          <w:b w:val="1"/>
          <w:sz w:val="20"/>
          <w:szCs w:val="20"/>
        </w:rPr>
      </w:pPr>
      <w:r w:rsidDel="00000000" w:rsidR="00000000" w:rsidRPr="00000000">
        <w:rPr>
          <w:rtl w:val="0"/>
        </w:rPr>
      </w:r>
    </w:p>
    <w:p w:rsidR="00000000" w:rsidDel="00000000" w:rsidP="00000000" w:rsidRDefault="00000000" w:rsidRPr="00000000" w14:paraId="00000043">
      <w:pPr>
        <w:spacing w:line="276" w:lineRule="auto"/>
        <w:jc w:val="both"/>
        <w:rPr>
          <w:sz w:val="20"/>
          <w:szCs w:val="20"/>
        </w:rPr>
      </w:pPr>
      <w:r w:rsidDel="00000000" w:rsidR="00000000" w:rsidRPr="00000000">
        <w:rPr>
          <w:rtl w:val="0"/>
        </w:rPr>
      </w:r>
    </w:p>
    <w:p w:rsidR="00000000" w:rsidDel="00000000" w:rsidP="00000000" w:rsidRDefault="00000000" w:rsidRPr="00000000" w14:paraId="00000044">
      <w:pPr>
        <w:jc w:val="both"/>
        <w:rPr>
          <w:sz w:val="16"/>
          <w:szCs w:val="16"/>
        </w:rPr>
      </w:pPr>
      <w:r w:rsidDel="00000000" w:rsidR="00000000" w:rsidRPr="00000000">
        <w:rPr>
          <w:rtl w:val="0"/>
        </w:rPr>
      </w:r>
    </w:p>
    <w:p w:rsidR="00000000" w:rsidDel="00000000" w:rsidP="00000000" w:rsidRDefault="00000000" w:rsidRPr="00000000" w14:paraId="00000045">
      <w:pPr>
        <w:jc w:val="both"/>
        <w:rPr>
          <w:sz w:val="16"/>
          <w:szCs w:val="16"/>
        </w:rPr>
      </w:pPr>
      <w:r w:rsidDel="00000000" w:rsidR="00000000" w:rsidRPr="00000000">
        <w:rPr>
          <w:rtl w:val="0"/>
        </w:rPr>
      </w:r>
    </w:p>
    <w:sectPr>
      <w:headerReference r:id="rId16" w:type="default"/>
      <w:footerReference r:id="rId1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rPr/>
    </w:pPr>
    <w:r w:rsidDel="00000000" w:rsidR="00000000" w:rsidRPr="00000000">
      <w:rPr/>
      <w:pict>
        <v:shape id="WordPictureWatermark1" style="position:absolute;width:596.1768503937008pt;height:843.3017322834646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cs.wikipedia.org/wiki/Semiramis" TargetMode="External"/><Relationship Id="rId10" Type="http://schemas.openxmlformats.org/officeDocument/2006/relationships/image" Target="media/image4.jpg"/><Relationship Id="rId13" Type="http://schemas.openxmlformats.org/officeDocument/2006/relationships/image" Target="media/image3.jpg"/><Relationship Id="rId12" Type="http://schemas.openxmlformats.org/officeDocument/2006/relationships/hyperlink" Target="https://cs.wikipedia.org/wiki/Nebukadnesar_I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hyperlink" Target="mailto:dominika.bartova@zlataky.cz" TargetMode="External"/><Relationship Id="rId14" Type="http://schemas.openxmlformats.org/officeDocument/2006/relationships/hyperlink" Target="https://zlataky.cz/zlata-mince-100-g-sedm-divu-sveta-zahrady-babylonu-2024"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zlataky.cz/zlata-mince-100-g-sedm-divu-sveta-zahrady-babylonu-2024" TargetMode="External"/><Relationship Id="rId8" Type="http://schemas.openxmlformats.org/officeDocument/2006/relationships/hyperlink" Target="https://zlataky.cz/stribrna-mince-100-g-sedm-divu-sveta-zahrady-babylonu-2024-antique-stand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tTx5TZF0agbMKlnu4m0SjrfX8Q==">CgMxLjA4AHIhMVJrbGdtYzg3MGxVekZ0WF9SaUY5Rnk3QlVGVTM3UTVh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