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4F89" w:rsidP="352006E3" w:rsidRDefault="5FE2C9E1" w14:paraId="1A4EFEFD" w14:textId="0AD5592B">
      <w:pPr>
        <w:spacing w:before="240"/>
        <w:jc w:val="center"/>
        <w:rPr>
          <w:rFonts w:ascii="Century Gothic" w:hAnsi="Century Gothic" w:eastAsia="Century Gothic" w:cs="Century Gothic"/>
          <w:color w:val="000000" w:themeColor="text1"/>
          <w:sz w:val="28"/>
          <w:szCs w:val="28"/>
        </w:rPr>
      </w:pPr>
      <w:r w:rsidRPr="352006E3">
        <w:rPr>
          <w:rFonts w:ascii="Century Gothic" w:hAnsi="Century Gothic" w:eastAsia="Century Gothic" w:cs="Century Gothic"/>
          <w:b/>
          <w:bCs/>
          <w:color w:val="000000" w:themeColor="text1"/>
          <w:sz w:val="28"/>
          <w:szCs w:val="28"/>
        </w:rPr>
        <w:t>Televizní obrazovky pocítí lví sílu v nové kampani Magnesie</w:t>
      </w:r>
    </w:p>
    <w:p w:rsidRPr="00A67EC7" w:rsidR="00484F89" w:rsidP="352006E3" w:rsidRDefault="5FE2C9E1" w14:paraId="5AAD18AA" w14:textId="41E97BA3">
      <w:pPr>
        <w:spacing w:before="240"/>
        <w:jc w:val="right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1F5ED06F" w:rsidR="5FE2C9E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Praha, </w:t>
      </w:r>
      <w:r w:rsidRPr="1F5ED06F" w:rsidR="000D05D3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1</w:t>
      </w:r>
      <w:r w:rsidRPr="1F5ED06F" w:rsidR="37873A77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8</w:t>
      </w:r>
      <w:r w:rsidRPr="1F5ED06F" w:rsidR="000D05D3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.</w:t>
      </w:r>
      <w:r w:rsidRPr="1F5ED06F" w:rsidR="5FE2C9E1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 xml:space="preserve"> listopadu 2024</w:t>
      </w:r>
    </w:p>
    <w:p w:rsidRPr="00A67EC7" w:rsidR="00484F89" w:rsidP="352006E3" w:rsidRDefault="5FE2C9E1" w14:paraId="6C5E7548" w14:textId="1F00D5B2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 xml:space="preserve">Na dubnový redesign minerální vody Magnesia nyní značka navazuje kampaní s majestátním lvem, který dominuje novému televiznímu spotu.  Hlavní hrdina ztělesňuje lví sílu přírodního hořčíku, obsaženého v minerální vodě Magnesia. Kampaň odstartuje v polovině listopadu a zahrnuje televizní i online spoty a </w:t>
      </w:r>
      <w:proofErr w:type="spellStart"/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influencerské</w:t>
      </w:r>
      <w:proofErr w:type="spellEnd"/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 xml:space="preserve"> spolupráce.</w:t>
      </w:r>
    </w:p>
    <w:p w:rsidRPr="00A67EC7" w:rsidR="00484F89" w:rsidP="352006E3" w:rsidRDefault="5FE2C9E1" w14:paraId="458CF4C5" w14:textId="6DCB307B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Ústředním motivem je lev elegantně se pohybující pod vodní hladinou. „</w:t>
      </w:r>
      <w:r w:rsidRPr="00A67EC7">
        <w:rPr>
          <w:rFonts w:ascii="Century Gothic" w:hAnsi="Century Gothic" w:eastAsia="Century Gothic" w:cs="Century Gothic"/>
          <w:i/>
          <w:iCs/>
          <w:color w:val="000000" w:themeColor="text1"/>
          <w:sz w:val="22"/>
          <w:szCs w:val="22"/>
        </w:rPr>
        <w:t>V nové kampani jsme do centra pozornosti přivedli lva, který je od pradávna symbolem síly a energie a se značkou je spjatý již od jejího vzniku. Snažili jsme se navázat na tradici našich ikonických spotů a zároveň přinést intenzivní vizuální zážitek</w:t>
      </w: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,“ uvádí </w:t>
      </w:r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 xml:space="preserve">Vladimíra Procházková, senior </w:t>
      </w:r>
      <w:proofErr w:type="spellStart"/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brand</w:t>
      </w:r>
      <w:proofErr w:type="spellEnd"/>
      <w:r w:rsidRPr="00A67EC7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 xml:space="preserve"> manažerka značky Magnesia. </w:t>
      </w:r>
    </w:p>
    <w:p w:rsidRPr="00A67EC7" w:rsidR="00484F89" w:rsidP="352006E3" w:rsidRDefault="5FE2C9E1" w14:paraId="1D3C50CA" w14:textId="1C5DF128">
      <w:pPr>
        <w:spacing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Televizní spot vznikl začátkem září v Madridu pod taktovkou renomovaného režiséra Sebastiena </w:t>
      </w:r>
      <w:proofErr w:type="spellStart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Grousseta</w:t>
      </w:r>
      <w:proofErr w:type="spellEnd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. Produkce se ujala španělská společnost MENDIPS ve spolupráci s kreativní agenturou Milano Praha. Lokalizaci spotu a další doplňkové služby pro český a slovenský trh zajišťuje agentura WMC GREY.</w:t>
      </w:r>
    </w:p>
    <w:p w:rsidRPr="00A67EC7" w:rsidR="00484F89" w:rsidP="352006E3" w:rsidRDefault="5FE2C9E1" w14:paraId="5D1B0422" w14:textId="52CB64CC">
      <w:pPr>
        <w:spacing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Tvůrci při tvorbě spotu využili unikátní postprodukční postupy, které spočívají v kombinaci čtyř pokročilých technologií, včetně CGI a umělé inteligence. Díky tomu byli schopni vytvořit velmi realistické ztvárnění lva. Kampaň tak slibuje nezapomenutelný vizuální zážitek, který Magnesii odliší od konkurence. </w:t>
      </w:r>
    </w:p>
    <w:p w:rsidRPr="00A67EC7" w:rsidR="00484F89" w:rsidP="352006E3" w:rsidRDefault="5FE2C9E1" w14:paraId="39E0A0C3" w14:textId="7B573F88">
      <w:pPr>
        <w:spacing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Svůj hlas televiznímu spotu propůjčil </w:t>
      </w:r>
      <w:r w:rsidRPr="3AE15469">
        <w:rPr>
          <w:rFonts w:ascii="Century Gothic" w:hAnsi="Century Gothic" w:eastAsia="Century Gothic" w:cs="Century Gothic"/>
          <w:b/>
          <w:color w:val="000000" w:themeColor="text1"/>
          <w:sz w:val="22"/>
          <w:szCs w:val="22"/>
        </w:rPr>
        <w:t>Václav Neužil, držitel Českého lva za nejlepší mužský herecký výkon v hlavní roli</w:t>
      </w: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. Tato spolupráce přináší další symbolickou vrstvu a umocňuje důraz na lví motiv, který prostupuje celou kampaní.</w:t>
      </w:r>
    </w:p>
    <w:p w:rsidRPr="00A67EC7" w:rsidR="00484F89" w:rsidP="352006E3" w:rsidRDefault="5FE2C9E1" w14:paraId="5ADD0D3C" w14:textId="42719157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Symbolika se promítne také do </w:t>
      </w:r>
      <w:proofErr w:type="spellStart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teaseru</w:t>
      </w:r>
      <w:proofErr w:type="spellEnd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, který pomocí CGI oživí budovu pražského Rudolfina – místa, kde se ocenění Český lev tradičně předává. „</w:t>
      </w:r>
      <w:r w:rsidRPr="00A67EC7">
        <w:rPr>
          <w:rFonts w:ascii="Century Gothic" w:hAnsi="Century Gothic" w:eastAsia="Century Gothic" w:cs="Century Gothic"/>
          <w:i/>
          <w:iCs/>
          <w:color w:val="000000" w:themeColor="text1"/>
          <w:sz w:val="22"/>
          <w:szCs w:val="22"/>
        </w:rPr>
        <w:t>Díky využití CGI jsme na fasádě Rudolfina vytvořili majestátní hlavu lva, která symbolizuje lví sílu přírodního hořčíku obsaženého v Magnesii. S využitím hlavního symbolu značky jsme dosáhli překvapivého vizuálního efektu,</w:t>
      </w: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“ uvedl </w:t>
      </w:r>
      <w:r w:rsidRPr="002C1980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 xml:space="preserve">Vlastimil Hladík z agentury WMC </w:t>
      </w:r>
      <w:proofErr w:type="spellStart"/>
      <w:r w:rsidRPr="002C1980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Grey</w:t>
      </w:r>
      <w:proofErr w:type="spellEnd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. </w:t>
      </w:r>
      <w:proofErr w:type="spellStart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Teaser</w:t>
      </w:r>
      <w:proofErr w:type="spellEnd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 se objeví souběžně s televizním spotem a diváky naladí na hlavní sdělení kampaně. </w:t>
      </w:r>
    </w:p>
    <w:p w:rsidRPr="00A67EC7" w:rsidR="00484F89" w:rsidP="352006E3" w:rsidRDefault="5FE2C9E1" w14:paraId="47FB69ED" w14:textId="0D9AF3B2">
      <w:pPr>
        <w:spacing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Ta oficiálně odstartuje 18. listopadu 2024 a bude zahrnovat televizní spoty na stanicích Prima Group, online reklamu, spolupráci s </w:t>
      </w:r>
      <w:proofErr w:type="spellStart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influencery</w:t>
      </w:r>
      <w:proofErr w:type="spellEnd"/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 a sponzoring. Spot bude k vidění také na sociálních sítích a YouTube. </w:t>
      </w:r>
      <w:r w:rsidRPr="00744523" w:rsidR="00744523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Kampaň bude probíhat až do úvodu roku 2025.</w:t>
      </w:r>
    </w:p>
    <w:p w:rsidR="00334C11" w:rsidP="00FE538A" w:rsidRDefault="5FE2C9E1" w14:paraId="075E9EEA" w14:textId="77423A34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„</w:t>
      </w:r>
      <w:r w:rsidRPr="00A67EC7">
        <w:rPr>
          <w:rFonts w:ascii="Century Gothic" w:hAnsi="Century Gothic" w:eastAsia="Century Gothic" w:cs="Century Gothic"/>
          <w:i/>
          <w:iCs/>
          <w:color w:val="000000" w:themeColor="text1"/>
          <w:sz w:val="22"/>
          <w:szCs w:val="22"/>
        </w:rPr>
        <w:t>Novou kampaní chceme zdůraznit jedinečné složení minerální vody Magnesia bohaté na přírodní hořčík a potvrdit její pozici jedničky na trhu minerálních vod. Věříme, že symbol lva osloví naše stávající zákazníky i novou generaci spotřebitelů</w:t>
      </w: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,“ uzavírá </w:t>
      </w:r>
      <w:r w:rsidRPr="00706856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Vladimíra Procházková</w:t>
      </w:r>
      <w:r w:rsidRPr="00A67EC7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.</w:t>
      </w:r>
    </w:p>
    <w:p w:rsidR="00334C11" w:rsidP="008C2B7A" w:rsidRDefault="00334C11" w14:paraId="27E450F0" w14:textId="77777777">
      <w:pPr>
        <w:spacing w:after="200" w:line="276" w:lineRule="auto"/>
        <w:jc w:val="both"/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</w:pPr>
    </w:p>
    <w:p w:rsidRPr="0081612A" w:rsidR="008C2B7A" w:rsidP="008C2B7A" w:rsidRDefault="008C2B7A" w14:paraId="41B21B85" w14:textId="77777777">
      <w:pPr>
        <w:spacing w:after="20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0DA55FA9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O minerální vodě Magnesia</w:t>
      </w:r>
    </w:p>
    <w:p w:rsidRPr="0081612A" w:rsidR="008C2B7A" w:rsidP="008C2B7A" w:rsidRDefault="008C2B7A" w14:paraId="68D688FE" w14:textId="77777777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proofErr w:type="gramStart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Magnesia</w:t>
      </w:r>
      <w:proofErr w:type="gramEnd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je přírodní středně mineralizovaná voda se značným obsahem hořčíku a nízkým obsahem sodíku. Pramení ve Slavkovském lese a čerpá se z přírodního zdroje z hloubky 100 metrů. Je vhodná na pravidelnou konzumaci bez omezení. K dostání je v přírodní neperlivé, jemně perlivé i perlivé variantě. Oblíbené jsou i ochucené varianty řady Magnesia </w:t>
      </w:r>
      <w:proofErr w:type="spellStart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Red</w:t>
      </w:r>
      <w:proofErr w:type="spellEnd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s vitaminy B a funkční vody Magnesia Plus ve čtyřech variantách. Více na </w:t>
      </w:r>
      <w:hyperlink r:id="rId10">
        <w:r w:rsidRPr="0DA55FA9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www.magnesia.cz</w:t>
        </w:r>
      </w:hyperlink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. </w:t>
      </w:r>
    </w:p>
    <w:p w:rsidRPr="0081612A" w:rsidR="008C2B7A" w:rsidP="008C2B7A" w:rsidRDefault="008C2B7A" w14:paraId="095263A6" w14:textId="77777777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</w:p>
    <w:p w:rsidRPr="0081612A" w:rsidR="008C2B7A" w:rsidP="008C2B7A" w:rsidRDefault="008C2B7A" w14:paraId="38C595F2" w14:textId="77777777">
      <w:pPr>
        <w:spacing w:after="20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0DA55FA9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O Mattoni 1873</w:t>
      </w:r>
    </w:p>
    <w:p w:rsidRPr="0081612A" w:rsidR="008C2B7A" w:rsidP="008C2B7A" w:rsidRDefault="008C2B7A" w14:paraId="0F163910" w14:textId="77777777">
      <w:pPr>
        <w:spacing w:after="6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Značka Magnesia je součástí Mattoni 1873, největšího distributora nealkoholických nápojů ve střední Evropě, s kořeny sahajícími do roku 1873 a ke karlovarskému rodákovi Heinrichu </w:t>
      </w:r>
      <w:proofErr w:type="spellStart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Mattonimu</w:t>
      </w:r>
      <w:proofErr w:type="spellEnd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. Současnou podobu získala skupina v 90. letech díky výrazným investicím italské rodiny </w:t>
      </w:r>
      <w:proofErr w:type="spellStart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Pasquale</w:t>
      </w:r>
      <w:proofErr w:type="spellEnd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. Produkty vyváží do téměř 20 zemí světa, vlastní zahraniční značky minerálních vod v Rakousku, Maďarsku a Srbsku. V ČR, Rakousku, Bulharsku, Slovensku, Maďarsku, Srbsku a Černé Hoře je Mattoni 1873 výhradním výrobcem a distributorem nealkoholických nápojů značek firmy PepsiCo.</w:t>
      </w:r>
    </w:p>
    <w:p w:rsidRPr="0081612A" w:rsidR="008C2B7A" w:rsidP="008C2B7A" w:rsidRDefault="008C2B7A" w14:paraId="6297CD9D" w14:textId="77777777">
      <w:pPr>
        <w:pStyle w:val="paragraph"/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0DA55FA9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</w:rPr>
        <w:t>Kontakt pro média</w:t>
      </w:r>
    </w:p>
    <w:p w:rsidRPr="0081612A" w:rsidR="008C2B7A" w:rsidP="008C2B7A" w:rsidRDefault="008C2B7A" w14:paraId="74B7DFB7" w14:textId="62DE2D72">
      <w:pPr>
        <w:spacing w:after="0" w:line="276" w:lineRule="auto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proofErr w:type="spellStart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Lutfia</w:t>
      </w:r>
      <w:proofErr w:type="spellEnd"/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</w:t>
      </w:r>
      <w:r w:rsidR="00334C11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Miňovská</w:t>
      </w:r>
      <w:r w:rsidRPr="4AF89108" w:rsidR="1B0D7E3A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(Volfová)</w:t>
      </w:r>
      <w:r w:rsidRPr="4AF89108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,</w:t>
      </w:r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PR manažer</w:t>
      </w:r>
      <w:r w:rsidRPr="4AF89108" w:rsidR="78AC5AAD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a mluvčí</w:t>
      </w:r>
      <w:r>
        <w:br/>
      </w:r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Mattoni 1873</w:t>
      </w:r>
    </w:p>
    <w:p w:rsidRPr="0081612A" w:rsidR="008C2B7A" w:rsidP="008C2B7A" w:rsidRDefault="008C2B7A" w14:paraId="4D0E6DF5" w14:textId="77777777">
      <w:pPr>
        <w:spacing w:after="200" w:line="276" w:lineRule="auto"/>
        <w:rPr>
          <w:rFonts w:ascii="Century Gothic" w:hAnsi="Century Gothic" w:eastAsia="Century Gothic" w:cs="Century Gothic"/>
        </w:rPr>
      </w:pPr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Telefon: 607 602 328</w:t>
      </w:r>
      <w:r>
        <w:br/>
      </w:r>
      <w:r w:rsidRPr="0DA55FA9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E-mail: </w:t>
      </w:r>
      <w:hyperlink r:id="rId11">
        <w:r w:rsidRPr="0DA55FA9">
          <w:rPr>
            <w:rStyle w:val="Hyperlink"/>
            <w:rFonts w:ascii="Century Gothic" w:hAnsi="Century Gothic" w:eastAsia="Century Gothic" w:cs="Century Gothic"/>
            <w:sz w:val="18"/>
            <w:szCs w:val="18"/>
            <w:lang w:val="cs"/>
          </w:rPr>
          <w:t>lutfia.volfova@mattoni.cz</w:t>
        </w:r>
      </w:hyperlink>
    </w:p>
    <w:p w:rsidRPr="00A67EC7" w:rsidR="00B56790" w:rsidP="00FE538A" w:rsidRDefault="00B56790" w14:paraId="797C00F8" w14:textId="6482807E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</w:p>
    <w:sectPr w:rsidRPr="00A67EC7" w:rsidR="00B56790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64BF" w:rsidRDefault="008F64BF" w14:paraId="6687563C" w14:textId="77777777">
      <w:pPr>
        <w:spacing w:after="0" w:line="240" w:lineRule="auto"/>
      </w:pPr>
      <w:r>
        <w:separator/>
      </w:r>
    </w:p>
  </w:endnote>
  <w:endnote w:type="continuationSeparator" w:id="0">
    <w:p w:rsidR="008F64BF" w:rsidRDefault="008F64BF" w14:paraId="45209B7D" w14:textId="77777777">
      <w:pPr>
        <w:spacing w:after="0" w:line="240" w:lineRule="auto"/>
      </w:pPr>
      <w:r>
        <w:continuationSeparator/>
      </w:r>
    </w:p>
  </w:endnote>
  <w:endnote w:type="continuationNotice" w:id="1">
    <w:p w:rsidR="008F64BF" w:rsidRDefault="008F64BF" w14:paraId="25A4A6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A0341D" w:rsidTr="6DA0341D" w14:paraId="61DD247C" w14:textId="77777777">
      <w:trPr>
        <w:trHeight w:val="300"/>
      </w:trPr>
      <w:tc>
        <w:tcPr>
          <w:tcW w:w="3005" w:type="dxa"/>
        </w:tcPr>
        <w:p w:rsidR="6DA0341D" w:rsidP="6DA0341D" w:rsidRDefault="6DA0341D" w14:paraId="6E1D8182" w14:textId="25780656">
          <w:pPr>
            <w:pStyle w:val="Header"/>
            <w:ind w:left="-115"/>
          </w:pPr>
        </w:p>
      </w:tc>
      <w:tc>
        <w:tcPr>
          <w:tcW w:w="3005" w:type="dxa"/>
        </w:tcPr>
        <w:p w:rsidR="6DA0341D" w:rsidP="6DA0341D" w:rsidRDefault="6DA0341D" w14:paraId="33265BAB" w14:textId="4DBED67B">
          <w:pPr>
            <w:pStyle w:val="Header"/>
            <w:jc w:val="center"/>
          </w:pPr>
        </w:p>
      </w:tc>
      <w:tc>
        <w:tcPr>
          <w:tcW w:w="3005" w:type="dxa"/>
        </w:tcPr>
        <w:p w:rsidR="6DA0341D" w:rsidP="6DA0341D" w:rsidRDefault="6DA0341D" w14:paraId="69D52548" w14:textId="48B4E34E">
          <w:pPr>
            <w:pStyle w:val="Header"/>
            <w:ind w:right="-115"/>
            <w:jc w:val="right"/>
          </w:pPr>
        </w:p>
      </w:tc>
    </w:tr>
  </w:tbl>
  <w:p w:rsidR="6DA0341D" w:rsidP="6DA0341D" w:rsidRDefault="6DA0341D" w14:paraId="0FACC222" w14:textId="50D19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64BF" w:rsidRDefault="008F64BF" w14:paraId="36AAF843" w14:textId="77777777">
      <w:pPr>
        <w:spacing w:after="0" w:line="240" w:lineRule="auto"/>
      </w:pPr>
      <w:r>
        <w:separator/>
      </w:r>
    </w:p>
  </w:footnote>
  <w:footnote w:type="continuationSeparator" w:id="0">
    <w:p w:rsidR="008F64BF" w:rsidRDefault="008F64BF" w14:paraId="06B0B574" w14:textId="77777777">
      <w:pPr>
        <w:spacing w:after="0" w:line="240" w:lineRule="auto"/>
      </w:pPr>
      <w:r>
        <w:continuationSeparator/>
      </w:r>
    </w:p>
  </w:footnote>
  <w:footnote w:type="continuationNotice" w:id="1">
    <w:p w:rsidR="008F64BF" w:rsidRDefault="008F64BF" w14:paraId="2EF96C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A0341D" w:rsidTr="6DA0341D" w14:paraId="38AC5C70" w14:textId="77777777">
      <w:trPr>
        <w:trHeight w:val="300"/>
      </w:trPr>
      <w:tc>
        <w:tcPr>
          <w:tcW w:w="3005" w:type="dxa"/>
        </w:tcPr>
        <w:p w:rsidR="6DA0341D" w:rsidP="00B56790" w:rsidRDefault="6DA0341D" w14:paraId="697F21BF" w14:textId="131F8E3F">
          <w:pPr>
            <w:pStyle w:val="Header"/>
          </w:pPr>
        </w:p>
      </w:tc>
      <w:tc>
        <w:tcPr>
          <w:tcW w:w="3005" w:type="dxa"/>
        </w:tcPr>
        <w:p w:rsidR="6DA0341D" w:rsidP="00B56790" w:rsidRDefault="005351D5" w14:paraId="3B2D2369" w14:textId="49A9856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D7D6FB" wp14:editId="7B38B5F6">
                <wp:extent cx="1578393" cy="783772"/>
                <wp:effectExtent l="0" t="0" r="3175" b="0"/>
                <wp:docPr id="100834399" name="Obrázek 1" descr="Obsah obrázku logo, Grafika, symbol, Pís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34399" name="Obrázek 1" descr="Obsah obrázku logo, Grafika, symbol, Písm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66" b="13761"/>
                        <a:stretch/>
                      </pic:blipFill>
                      <pic:spPr bwMode="auto">
                        <a:xfrm>
                          <a:off x="0" y="0"/>
                          <a:ext cx="1607643" cy="7982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DA0341D" w:rsidP="6DA0341D" w:rsidRDefault="6DA0341D" w14:paraId="69A2C41C" w14:textId="4C1A7344">
          <w:pPr>
            <w:pStyle w:val="Header"/>
            <w:ind w:right="-115"/>
            <w:jc w:val="right"/>
          </w:pPr>
        </w:p>
      </w:tc>
    </w:tr>
  </w:tbl>
  <w:p w:rsidR="6DA0341D" w:rsidP="6DA0341D" w:rsidRDefault="6DA0341D" w14:paraId="074DD247" w14:textId="112CE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F5472E"/>
    <w:rsid w:val="00045FCE"/>
    <w:rsid w:val="000D05D3"/>
    <w:rsid w:val="001200C7"/>
    <w:rsid w:val="001518A8"/>
    <w:rsid w:val="001556C8"/>
    <w:rsid w:val="001A1851"/>
    <w:rsid w:val="001E5071"/>
    <w:rsid w:val="001F0DF5"/>
    <w:rsid w:val="001F3FAC"/>
    <w:rsid w:val="002756BC"/>
    <w:rsid w:val="00275CA5"/>
    <w:rsid w:val="00294426"/>
    <w:rsid w:val="002C1980"/>
    <w:rsid w:val="002C7A6E"/>
    <w:rsid w:val="002D7074"/>
    <w:rsid w:val="00334C11"/>
    <w:rsid w:val="00355C9A"/>
    <w:rsid w:val="00484F89"/>
    <w:rsid w:val="00503C1B"/>
    <w:rsid w:val="00511962"/>
    <w:rsid w:val="00512483"/>
    <w:rsid w:val="005351D5"/>
    <w:rsid w:val="005C3C68"/>
    <w:rsid w:val="005D7422"/>
    <w:rsid w:val="005E381B"/>
    <w:rsid w:val="00612A02"/>
    <w:rsid w:val="00696D6A"/>
    <w:rsid w:val="00706856"/>
    <w:rsid w:val="00744523"/>
    <w:rsid w:val="008513E9"/>
    <w:rsid w:val="008915B2"/>
    <w:rsid w:val="008A5272"/>
    <w:rsid w:val="008C2B7A"/>
    <w:rsid w:val="008F4317"/>
    <w:rsid w:val="008F64BF"/>
    <w:rsid w:val="00915A16"/>
    <w:rsid w:val="009B2DF1"/>
    <w:rsid w:val="009F574C"/>
    <w:rsid w:val="00A01F68"/>
    <w:rsid w:val="00A67EC7"/>
    <w:rsid w:val="00AC16CF"/>
    <w:rsid w:val="00B0551E"/>
    <w:rsid w:val="00B56790"/>
    <w:rsid w:val="00B81EEE"/>
    <w:rsid w:val="00BA26C6"/>
    <w:rsid w:val="00C009F0"/>
    <w:rsid w:val="00C10B70"/>
    <w:rsid w:val="00C70D7D"/>
    <w:rsid w:val="00CF259C"/>
    <w:rsid w:val="00D20C7F"/>
    <w:rsid w:val="00E34616"/>
    <w:rsid w:val="00E574B3"/>
    <w:rsid w:val="00E857FB"/>
    <w:rsid w:val="00EC2E7C"/>
    <w:rsid w:val="00ED2567"/>
    <w:rsid w:val="00F25CFA"/>
    <w:rsid w:val="00FE538A"/>
    <w:rsid w:val="00FF4DE0"/>
    <w:rsid w:val="02926202"/>
    <w:rsid w:val="11235341"/>
    <w:rsid w:val="1A5F07D3"/>
    <w:rsid w:val="1B0D7E3A"/>
    <w:rsid w:val="1F5ED06F"/>
    <w:rsid w:val="292B06AE"/>
    <w:rsid w:val="352006E3"/>
    <w:rsid w:val="35E8A3B6"/>
    <w:rsid w:val="37873A77"/>
    <w:rsid w:val="3AE15469"/>
    <w:rsid w:val="47E92B70"/>
    <w:rsid w:val="4AF89108"/>
    <w:rsid w:val="5FE2C9E1"/>
    <w:rsid w:val="6DA0341D"/>
    <w:rsid w:val="7779D3E9"/>
    <w:rsid w:val="784D5212"/>
    <w:rsid w:val="78AC5AAD"/>
    <w:rsid w:val="7C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472E"/>
  <w15:chartTrackingRefBased/>
  <w15:docId w15:val="{5A4CE125-64FC-420C-8468-2576CDB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2B7A"/>
    <w:rPr>
      <w:color w:val="467886" w:themeColor="hyperlink"/>
      <w:u w:val="single"/>
    </w:rPr>
  </w:style>
  <w:style w:type="paragraph" w:styleId="paragraph" w:customStyle="1">
    <w:name w:val="paragraph"/>
    <w:basedOn w:val="Normal"/>
    <w:uiPriority w:val="1"/>
    <w:rsid w:val="008C2B7A"/>
    <w:pPr>
      <w:spacing w:beforeAutospacing="1" w:afterAutospacing="1" w:line="259" w:lineRule="auto"/>
    </w:pPr>
    <w:rPr>
      <w:rFonts w:ascii="Times New Roman" w:hAnsi="Times New Roman" w:cs="Times New Roman"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utfia.volfova@mattoni.cz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magnesia.cz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f1f112867e24146e7681535df30396e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374c4abfbe260bec1e121966f4d3bad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BD3D0107-4B59-49A5-B35E-0C477D606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8B420-A887-465A-BFC8-4AD04F79B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7EAD8-38BD-4D0E-A896-8C8F63C3E33E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Krušinová Karolína</dc:creator>
  <keywords/>
  <dc:description/>
  <lastModifiedBy>Krušinová Karolína</lastModifiedBy>
  <revision>29</revision>
  <dcterms:created xsi:type="dcterms:W3CDTF">2024-11-13T21:53:00.0000000Z</dcterms:created>
  <dcterms:modified xsi:type="dcterms:W3CDTF">2024-11-18T08:27:21.8417519Z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