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Akcja Fundacji Avalon i AMP Futbol #EXTRAsprawni z milionowymi obejrzeniami na TikToku!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2021-06-11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Zaledwie tydzień wystarczył, aby challenge zorganizowany przez TikToka, Fundację Avalon (realizującą projekt Avalon Extreme) i AMP Futbol Polska, zakończył się prawdziwym sukcesem. Obejrzało go ponad 11 milionów Tiktokerów! Akcja miała na celu zwiększenie integracji społecznej aktywnych sportowo osób z niepełnosprawnościami, przełamywanie swoich słabości i przekraczanie granic, a przy okazji zapewnienie dobrej zabawy. Challenge stanowił rozwinięcie wyjątkowej kampanii społecznej Fundacji Avalon EXTRAsprawni 2020, prowadzonej pod hasłem “Wystarczy Zacząć”.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Mocne wkroczenie na TikToka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Na czele najchętniej pobieranych aplikacji roku 2020 stanął TikTok – przestrzeń nieograniczonej kreatywności. Fundacja Avalon i AMP Futbol wykorzystały jego potencjał przy promowaniu challengu #EXTRAsprawni. Akcja trwała od 26 marca do 2 kwietnia br. i w stosunkowo krótkim czasie osiągnęła zawrotne wyniki oglądalności – łącznie obejrzało ją 11086100 użytkowników, a sam baner wyzwania zobaczyło ponad 2 miliony odbiorców. Chellenge udostępniło niemal 32 tysiące osób.</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Pokazali, że prawdziwy sport jest jeden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Zamysł akcji był prosty - użytkownicy TikToka zostali zaproszeni do wykonania ulubionej aktywności fizycznej przy użyciu jednej ręki lub nogi i oznaczenia nagranego wideo hasztagiem #extrasprawni. Wyzwanie miało pokazać, z jakimi przeciwnościami i barierami fizycznymi zmagają się osoby z niepełnosprawnościami. Avalon Extreme i AMP Futbol wspólnymi siłami pragnęli zachęcić odbiorców bijącej rekordy oglądalności platformy, do spróbowania czegoś nowego i stawiania sobie kreatywnych wyzwań. W challengu aktywnie zaangażowało się ponad tysiąc użytkowników platformy. Byli wśród nich m.in. extrasprawni ambasadorzy Avalon Extreme, znani sportowcy, tiktokerzy, trenerzy i gwiazdy.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Na przekór stereotypom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Akcja na TikToku okazała się kolejnym ważnym krokiem, który potwierdza, że osoby z niepełnosprawnością mogą uprawiać sport i nic nie stoi na przeszkodzie do ich samorealizacji, aktywności życiowej i fizycznej czy rozwoju pasji.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TikTok to idealne miejsce do dzielenia się sportowymi emocjami. Ten challenge nie tylko dał radość, ale pokazał w zupełnie nowy sposób, że sportowców z niepełnosprawnościami oraz tych w pełni sprawnych więcej łączy, niż dzieli. Niezmiernie ciszy, że wspólnie z AMP Futbol nakłoniliśmy użytkowników do przełamania wewnętrznych barier, a także bezpośredniego doświadczenia wyzwania, jakim może być brak czy niesprawność którejś z kończyn. Dziękujemy wszystkim, którzy wzięli udział w wyzwaniu za niesamowite zaangażowanie i przygotowanie inspirujących treści. To po raz kolejny dowodzi, że prawdziwy sport jest jeden, a trzecia edycja kampanii EXTRAsprawni dotarła do jeszcze szerszego niż w poprzednich latach grona odbiorców.</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Krzysztof Dobies, dyrektor generalny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Kampania EXTRAsprawni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Zainicjowane na TikToku wyzwanie stanowiło rozwinięcie trzeciej edycji kampanii społecznej EXTRAsprawni 2020, prowadzonej przez Fundację Avalon, współfinansowanej ze środków PFRON, pod znamiennym hasłem „Wystarczy zacząć”. Jej celem jest przełamywanie stereotypów dotyczących OzN poprzez ukazanie, że niepełnosprawność nie jest słabością i nie musi stać na przeszkodzie, by rozwijać swoje pasje i czasem zupełnie szalone pomysły na życie.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Avalon EXTREMEto projekt realizowany przez Fundację Avalon, którego misją jest zmiana postrzegania niepełnosprawności poprzez promocję sportów ekstremalnych. Pokazując osoby z niepełnosprawnościami jako ludzi aktywnych, samodzielnych i odnoszących sukcesy sportowe w widowiskowych i ekstremalnych dyscyplinach, Fundacja udowadnia, że niepełnosprawność nie stoi na przeszkodzie do samorealizacji i rozwoju pasji. Fundacja w ramach Avalon EXTREME tworzy nowe miejsca szkoleniowe i treningowe dla osób z niepełnosprawnościami oraz współpracuje z gronem ambasadorów popularyzujących sporty ekstremalne.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wspiera aktualnie ponad 11 000 osób z całej Polski. Łączna wartość pomocy udzielonej przez Fundację swoim podopiecznym wynosi ponad 204 mln złotych.</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0161d4462e732ba04ca47cd6502ff4fc72532d97a72f1b47a2c4c88916648dacakcja-fundacji-avalon-i-amp-futbo20260306-8-kyoar1.docx</dc:title>
</cp:coreProperties>
</file>

<file path=docProps/custom.xml><?xml version="1.0" encoding="utf-8"?>
<Properties xmlns="http://schemas.openxmlformats.org/officeDocument/2006/custom-properties" xmlns:vt="http://schemas.openxmlformats.org/officeDocument/2006/docPropsVTypes"/>
</file>