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26035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260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ogłasza konkurs dla dziennikarzy!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2024-01-22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both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zorganizowała konkurs dla dziennikarzy, w którym zachęca do tworzenia materiałów nawiązujących do idei kampanii „Teraz mnie widzisz?”, zwracających uwagę na problem niezauważalności osób z niepełnosprawnościami w życiu codziennym, zawodowym czy medialnym. Do wygrania trzy nagrody w wysokości 4000 zł każda!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both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Konkurs skierowany jest do dziennikarzy prasowych, internetowych, radiowych i telewizyjnych pracujących w redakcjach mediów ogólnopolskich, regionalnych i lokalnych działających na terytorium Polski oraz do osób współpracujących z tymi redakcjami.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both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 konkursu można zgłosić materiały dziennikarskie, które zostały opublikowane w czasie trwania kampanii „Teraz mnie widzisz?” w kategoriach: Pióro (tekst), Mikrofon (audio), Ekran (wideo).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both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„Poprzez udział w konkursie zachęcamy do wsparcia działań prowadzonych przez Fundację Avalon oraz promowania idei inkluzywnego, swobodnego społeczeństwa, w którym zauważony powinien być każdy i gdzie każdy może realizować swoje ambicje i plany na równych zasadach.”. – mówi Helena Szczuka, Kierowniczka Działu Komunikacji i Promocji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both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Zgłoszenia do konkursu wraz z materiałem dziennikarskim należy przesłać do 21 lutego poprzez formularz dostępny na stronie kampanii https://www.fundacjaavalon.pl/teraz-mnie-widzisz/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both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Dla zwycięzców organizatorzy przewidzieli trzy nagrody, każda o wartości 4 000 zł.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both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Szczegółowe zasady konkursu znajdują się w Regulaminie zamieszczonym na stronie kampanii. Tam też można dowiedzieć się więcej o samej inicjatywie.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Zapraszamy do udziału!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 kampanii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both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„Teraz mnie widzisz?” to już szósta z kolei ogólnopolska kampania społeczna Fundacji Avalon. Jej celem jest zwrócenie uwagi na problem niezauważalności osób z niepełnosprawnościami. Kampania ukazuje OzN jako pełnowartościowych członków społeczeństwa – zwłaszcza w zakresie uczestnictwa w życiu społecznym, medialnym, budowaniu relacji czy wypełnianiu różnorodnych ról społecznych i zawodowych. Bohaterami kampanii są osoby z niepełnosprawnościami, które podzieliły się swoimi doświadczeniami, historiami i problemami by uwrażliwić społeczeństwo na potrzeby różnych grup społecznych. Projekt jest współfinansowany przez PFRON. Więcej informacji o kampanii oraz jej bohaterach znajduje się na stronie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both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14 000 osób z całej Polski. Łączna wartość pomocy udzielonej przez Fundację swoim podopiecznym wynosi blisko 400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both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Szczegóły dotyczące działania fundacji znajdują się na oficjalnej stronie www.fundacjaavalon.pl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fa0fca9fc84988404b49bc04e061a43f023c95bcc6bd6a22c9b1a7aa9975be36fundacja-avalon-oglasza-konkurs-d20260304-8-fuojd6.docx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