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Rohlik Group ve spolupráci se španělskou společností Ulabox spustí v Madridu online obchod s potravinami Sezamo</w:t>
      </w:r>
      <w:r w:rsidDel="00000000" w:rsidR="00000000" w:rsidRPr="00000000">
        <w:rPr>
          <w:rtl w:val="0"/>
        </w:rPr>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6">
      <w:pPr>
        <w:jc w:val="both"/>
        <w:rPr>
          <w:rFonts w:ascii="Arial" w:cs="Arial" w:eastAsia="Arial" w:hAnsi="Arial"/>
          <w:b w:val="1"/>
          <w:highlight w:val="white"/>
        </w:rPr>
      </w:pPr>
      <w:r w:rsidDel="00000000" w:rsidR="00000000" w:rsidRPr="00000000">
        <w:rPr>
          <w:rFonts w:ascii="Arial" w:cs="Arial" w:eastAsia="Arial" w:hAnsi="Arial"/>
          <w:b w:val="1"/>
          <w:sz w:val="26"/>
          <w:szCs w:val="26"/>
          <w:rtl w:val="0"/>
        </w:rPr>
        <w:t xml:space="preserve">Květen 2022 – Evropský lídr v oblasti online prodeje potravin Rohlik Group uzavřel dohodu se španělskou společností Ulabox, která bude partnerem při spuštění Sezamo.es v Madridu. Od druhé poloviny letošního roku tak bude mít téměř 7 milionů lidí v oblasti Madridu poprvé přístup k jedinečnému prozákaznickému přístupu Rohlíku. Sezamo zákazníkům doručí </w:t>
      </w:r>
      <w:r w:rsidDel="00000000" w:rsidR="00000000" w:rsidRPr="00000000">
        <w:rPr>
          <w:rFonts w:ascii="Arial" w:cs="Arial" w:eastAsia="Arial" w:hAnsi="Arial"/>
          <w:b w:val="1"/>
          <w:highlight w:val="white"/>
          <w:rtl w:val="0"/>
        </w:rPr>
        <w:t xml:space="preserve">vysoce kvalitní, a přitom cenově výhodné privátní značky, lokální zboží od drobných pěstitelů a výrobců i špičkových mezinárodních značek do 3 hodin od objednání.</w:t>
      </w:r>
    </w:p>
    <w:p w:rsidR="00000000" w:rsidDel="00000000" w:rsidP="00000000" w:rsidRDefault="00000000" w:rsidRPr="00000000" w14:paraId="00000007">
      <w:pPr>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Ulabox, první španělská čistě online doručovací společnost potravin založená v roce 2010 v Barceloně, bude partnerem Rohlik Group při spuštění Sezamo v Madridu. Vedení Ulaboxu bude konkrétně zodpovědné za provoz a nabídku čerstvých místních produktů nejvyšší kvality a poskytování výjimečných služeb všem zákazníkům. Sezamo v Madridu nabídne více než 8 000 položek kvalitních potravin s doručením do 3 hodin. Rohlik Group se i ve Španělsku zaměří na spolupráci s lokálními řezníky, pekaři a farmáři. Tamní zákazníci si tak budou moci dopřát ty nejlepší lokální potraviny s doručením až domů.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i w:val="1"/>
        </w:rPr>
      </w:pPr>
      <w:r w:rsidDel="00000000" w:rsidR="00000000" w:rsidRPr="00000000">
        <w:rPr>
          <w:rFonts w:ascii="Arial" w:cs="Arial" w:eastAsia="Arial" w:hAnsi="Arial"/>
          <w:rtl w:val="0"/>
        </w:rPr>
        <w:t xml:space="preserve">Tomáš Čupr, zakladatel a CEO Rohlik Group k tomu říká: </w:t>
      </w:r>
      <w:r w:rsidDel="00000000" w:rsidR="00000000" w:rsidRPr="00000000">
        <w:rPr>
          <w:rFonts w:ascii="Arial" w:cs="Arial" w:eastAsia="Arial" w:hAnsi="Arial"/>
          <w:i w:val="1"/>
          <w:rtl w:val="0"/>
        </w:rPr>
        <w:t xml:space="preserve">„Naše strategie spočívá v nabídce skvělého sortimentu za dobré ceny s úžasnou zákaznickou zkušeností při každém kroku nákupu, počínaje výběrem a objednáním až po samotné doručení. Naše </w:t>
      </w:r>
      <w:r w:rsidDel="00000000" w:rsidR="00000000" w:rsidRPr="00000000">
        <w:rPr>
          <w:rFonts w:ascii="Arial" w:cs="Arial" w:eastAsia="Arial" w:hAnsi="Arial"/>
          <w:i w:val="1"/>
          <w:highlight w:val="white"/>
          <w:rtl w:val="0"/>
        </w:rPr>
        <w:t xml:space="preserve">poslání je jednoduché – pomáhat lidem vést šťastnější a zdravější život tím, že nabídneme zákazníkům široký výběr úžasných potravin prostřednictvím technologicky vyspělé doručovací služby spojené s vynikajícím zákaznickým servisem, který jim skutečně usnadňuje život</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a dodává: </w:t>
      </w:r>
      <w:r w:rsidDel="00000000" w:rsidR="00000000" w:rsidRPr="00000000">
        <w:rPr>
          <w:rFonts w:ascii="Arial" w:cs="Arial" w:eastAsia="Arial" w:hAnsi="Arial"/>
          <w:i w:val="1"/>
          <w:rtl w:val="0"/>
        </w:rPr>
        <w:t xml:space="preserve">„Obzvlášť mě těší, že se k nám přidává vrcholový management Ulaboxu.”</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Vedení Sezamo.es se ujme Jaume Gomà (jako CEO) a David Campoy (jako Chief Commercial Officer). Jaume přichází do Sezamo s více než pětadvacetiletou zkušeností v managementu. Spoluzaložil a posledních jedenáct let z pozice CEO také budoval Ulabox. David má celkem osmnáct let zkušeností, mimo jiné jako produktový nebo brand manažer ve společnostech Procter &amp; Gamble a Bacardi, přičemž posledních deset let byl zodpovědný za obchodní strategii v Ulaboxu. </w:t>
      </w:r>
      <w:r w:rsidDel="00000000" w:rsidR="00000000" w:rsidRPr="00000000">
        <w:rPr>
          <w:rFonts w:ascii="Arial" w:cs="Arial" w:eastAsia="Arial" w:hAnsi="Arial"/>
          <w:i w:val="1"/>
          <w:rtl w:val="0"/>
        </w:rPr>
        <w:t xml:space="preserve">„Jakmile jsme se setkali s Tomášem Čuprem a jeho týmem, bylo jasné, že si rozumíme v mnoha oblastech, od posedlosti zákazníkem a zákaznickým servisem přes udržitelný přístup k podnikání až po získávání nejlepších místních produktů.“</w:t>
      </w:r>
      <w:r w:rsidDel="00000000" w:rsidR="00000000" w:rsidRPr="00000000">
        <w:rPr>
          <w:rFonts w:ascii="Arial" w:cs="Arial" w:eastAsia="Arial" w:hAnsi="Arial"/>
          <w:rtl w:val="0"/>
        </w:rPr>
        <w:t xml:space="preserve"> vysvětluje Gomà a Campoye dodává: </w:t>
      </w:r>
      <w:r w:rsidDel="00000000" w:rsidR="00000000" w:rsidRPr="00000000">
        <w:rPr>
          <w:rFonts w:ascii="Arial" w:cs="Arial" w:eastAsia="Arial" w:hAnsi="Arial"/>
          <w:i w:val="1"/>
          <w:rtl w:val="0"/>
        </w:rPr>
        <w:t xml:space="preserve">„Máme také jasno v tom, že je důležité mít ty nejlepší technologie pro zajištění nejefektivnější logistiky. Milujeme zpochybňovat status quo a neustále se snažíme ohromit naše zákazníky.“</w:t>
      </w:r>
      <w:r w:rsidDel="00000000" w:rsidR="00000000" w:rsidRPr="00000000">
        <w:rPr>
          <w:rFonts w:ascii="Arial" w:cs="Arial" w:eastAsia="Arial" w:hAnsi="Arial"/>
          <w:rtl w:val="0"/>
        </w:rPr>
        <w:t xml:space="preserve"> </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V Barceloně bude Ulabox i nadále nabízet své služby online obchodu s potravinami.</w:t>
      </w:r>
    </w:p>
    <w:p w:rsidR="00000000" w:rsidDel="00000000" w:rsidP="00000000" w:rsidRDefault="00000000" w:rsidRPr="00000000" w14:paraId="0000000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rPr>
      </w:pPr>
      <w:r w:rsidDel="00000000" w:rsidR="00000000" w:rsidRPr="00000000">
        <w:rPr>
          <w:rFonts w:ascii="Arial" w:cs="Arial" w:eastAsia="Arial" w:hAnsi="Arial"/>
          <w:b w:val="1"/>
          <w:rtl w:val="0"/>
        </w:rPr>
        <w:t xml:space="preserve">První Tech Hub mimo Českou republiku</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S expanzí na další trhy Rohlík neustále hledá další hráče, kteří mění hru,  sdílejí jeho smysl pro cíl a jsou ochotni přijímat výzvy zkoušet nové věci a chopit se příležitosti. Španělsko není jen dalším polem působnosti Rohlik Group, ale po Praze také další technologickou základnou pro jeho software developery například pro Android nebo Java. Barcelonský tým bude jádrem prvního Tech Hubu mimo Českou republiku v souladu s novou strategií společnosti distribuovat Tech Huby po celé Evropě pod vedením CTO Ondřeje Klamta: </w:t>
      </w:r>
      <w:r w:rsidDel="00000000" w:rsidR="00000000" w:rsidRPr="00000000">
        <w:rPr>
          <w:rFonts w:ascii="Arial" w:cs="Arial" w:eastAsia="Arial" w:hAnsi="Arial"/>
          <w:i w:val="1"/>
          <w:rtl w:val="0"/>
        </w:rPr>
        <w:t xml:space="preserve">„Tato expanze Tech Hubu bude přínosem pro přilákání nových IT talentů na Pyrenejském poloostrově – </w:t>
      </w:r>
      <w:r w:rsidDel="00000000" w:rsidR="00000000" w:rsidRPr="00000000">
        <w:rPr>
          <w:rFonts w:ascii="Arial" w:cs="Arial" w:eastAsia="Arial" w:hAnsi="Arial"/>
          <w:i w:val="1"/>
          <w:color w:val="1d1c1d"/>
          <w:sz w:val="23"/>
          <w:szCs w:val="23"/>
          <w:rtl w:val="0"/>
        </w:rPr>
        <w:t xml:space="preserve">p</w:t>
      </w:r>
      <w:r w:rsidDel="00000000" w:rsidR="00000000" w:rsidRPr="00000000">
        <w:rPr>
          <w:rFonts w:ascii="Arial" w:cs="Arial" w:eastAsia="Arial" w:hAnsi="Arial"/>
          <w:i w:val="1"/>
          <w:color w:val="1d1c1d"/>
          <w:sz w:val="23"/>
          <w:szCs w:val="23"/>
          <w:rtl w:val="0"/>
        </w:rPr>
        <w:t xml:space="preserve">řinášíme možnost podílet se na nejrůznějších výzvách, jak v jejich návrhové fázi, tak i v samotném vývoji. </w:t>
      </w:r>
      <w:r w:rsidDel="00000000" w:rsidR="00000000" w:rsidRPr="00000000">
        <w:rPr>
          <w:rFonts w:ascii="Arial" w:cs="Arial" w:eastAsia="Arial" w:hAnsi="Arial"/>
          <w:i w:val="1"/>
          <w:color w:val="1d1c1d"/>
          <w:sz w:val="23"/>
          <w:szCs w:val="23"/>
          <w:highlight w:val="white"/>
          <w:rtl w:val="0"/>
        </w:rPr>
        <w:t xml:space="preserve">Je to další velký mil</w:t>
      </w:r>
      <w:r w:rsidDel="00000000" w:rsidR="00000000" w:rsidRPr="00000000">
        <w:rPr>
          <w:rFonts w:ascii="Arial" w:cs="Arial" w:eastAsia="Arial" w:hAnsi="Arial"/>
          <w:i w:val="1"/>
          <w:color w:val="1d1c1d"/>
          <w:sz w:val="23"/>
          <w:szCs w:val="23"/>
          <w:rtl w:val="0"/>
        </w:rPr>
        <w:t xml:space="preserve">ník</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říká Ondřej Klamt, CTO Rohlik Group.</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Společnost bude i nadále rozšiřovat svůj tým po celé Evropě, vytvářet více vysoce kvalifikovaných pracovních míst a stavět na své pověsti jednoho z předních online obchodů s potravinami v Evropě. Na kariérních webových stránkách Rohlik Group (career.rohlik.group) jsou aktuálně vyvěšeny pozice v 7 zemích, na 8 místech a ve 12 týmech.</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sectPr>
      <w:headerReference r:id="rId6" w:type="default"/>
      <w:headerReference r:id="rId7" w:type="first"/>
      <w:pgSz w:h="16840" w:w="11900" w:orient="portrait"/>
      <w:pgMar w:bottom="1417" w:top="1417" w:left="1417" w:right="1417" w:header="705" w:footer="7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rFonts w:ascii="Arial" w:cs="Arial" w:eastAsia="Arial" w:hAnsi="Arial"/>
        <w:b w:val="1"/>
        <w:sz w:val="28"/>
        <w:szCs w:val="28"/>
      </w:rPr>
    </w:pPr>
    <w:r w:rsidDel="00000000" w:rsidR="00000000" w:rsidRPr="00000000">
      <w:rPr>
        <w:rtl w:val="0"/>
      </w:rPr>
      <w:t xml:space="preserve">                                                          </w:t>
    </w:r>
    <w:r w:rsidDel="00000000" w:rsidR="00000000" w:rsidRPr="00000000">
      <w:rPr>
        <w:rFonts w:ascii="Arial" w:cs="Arial" w:eastAsia="Arial" w:hAnsi="Arial"/>
        <w:b w:val="1"/>
        <w:sz w:val="28"/>
        <w:szCs w:val="28"/>
        <w:rtl w:val="0"/>
      </w:rPr>
      <w:t xml:space="preserve">Tisková zpráva</w:t>
    </w:r>
    <w:r w:rsidDel="00000000" w:rsidR="00000000" w:rsidRPr="00000000">
      <w:drawing>
        <wp:anchor allowOverlap="1" behindDoc="0" distB="114300" distT="114300" distL="114300" distR="114300" hidden="0" layoutInCell="1" locked="0" relativeHeight="0" simplePos="0">
          <wp:simplePos x="0" y="0"/>
          <wp:positionH relativeFrom="column">
            <wp:posOffset>168275</wp:posOffset>
          </wp:positionH>
          <wp:positionV relativeFrom="paragraph">
            <wp:posOffset>-18396</wp:posOffset>
          </wp:positionV>
          <wp:extent cx="1232535" cy="8629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2535" cy="862965"/>
                  </a:xfrm>
                  <a:prstGeom prst="rect"/>
                  <a:ln/>
                </pic:spPr>
              </pic:pic>
            </a:graphicData>
          </a:graphic>
        </wp:anchor>
      </w:drawing>
    </w:r>
  </w:p>
  <w:p w:rsidR="00000000" w:rsidDel="00000000" w:rsidP="00000000" w:rsidRDefault="00000000" w:rsidRPr="00000000" w14:paraId="00000016">
    <w:pPr>
      <w:jc w:val="right"/>
      <w:rPr>
        <w:rFonts w:ascii="Arial" w:cs="Arial" w:eastAsia="Arial" w:hAnsi="Arial"/>
        <w:b w:val="1"/>
        <w:sz w:val="10"/>
        <w:szCs w:val="10"/>
      </w:rPr>
    </w:pPr>
    <w:r w:rsidDel="00000000" w:rsidR="00000000" w:rsidRPr="00000000">
      <w:rPr>
        <w:rFonts w:ascii="Arial" w:cs="Arial" w:eastAsia="Arial" w:hAnsi="Arial"/>
        <w:b w:val="1"/>
        <w:sz w:val="10"/>
        <w:szCs w:val="10"/>
        <w:rtl w:val="0"/>
      </w:rPr>
      <w:t xml:space="preserve"> </w:t>
    </w:r>
  </w:p>
  <w:p w:rsidR="00000000" w:rsidDel="00000000" w:rsidP="00000000" w:rsidRDefault="00000000" w:rsidRPr="00000000" w14:paraId="00000017">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Lutfia Volfová</w:t>
    </w:r>
  </w:p>
  <w:p w:rsidR="00000000" w:rsidDel="00000000" w:rsidP="00000000" w:rsidRDefault="00000000" w:rsidRPr="00000000" w14:paraId="00000018">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+ 420 607 602 328</w:t>
    </w:r>
  </w:p>
  <w:p w:rsidR="00000000" w:rsidDel="00000000" w:rsidP="00000000" w:rsidRDefault="00000000" w:rsidRPr="00000000" w14:paraId="00000019">
    <w:pPr>
      <w:jc w:val="right"/>
      <w:rPr>
        <w:rFonts w:ascii="Arial" w:cs="Arial" w:eastAsia="Arial" w:hAnsi="Arial"/>
        <w:b w:val="1"/>
        <w:sz w:val="20"/>
        <w:szCs w:val="20"/>
      </w:rPr>
    </w:pPr>
    <w:r w:rsidDel="00000000" w:rsidR="00000000" w:rsidRPr="00000000">
      <w:rPr>
        <w:rFonts w:ascii="Calibri" w:cs="Calibri" w:eastAsia="Calibri" w:hAnsi="Calibri"/>
        <w:b w:val="1"/>
        <w:sz w:val="20"/>
        <w:szCs w:val="20"/>
        <w:rtl w:val="0"/>
      </w:rPr>
      <w:t xml:space="preserve">lutfia.volfova@rohlik.cz</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rFonts w:ascii="Calibri" w:cs="Calibri" w:eastAsia="Calibri" w:hAnsi="Calibri"/>
      <w:b w:val="1"/>
    </w:rPr>
  </w:style>
  <w:style w:type="paragraph" w:styleId="Heading5">
    <w:name w:val="heading 5"/>
    <w:basedOn w:val="Normal"/>
    <w:next w:val="Normal"/>
    <w:pPr>
      <w:keepNext w:val="1"/>
      <w:keepLines w:val="1"/>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