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2D62" w14:textId="77777777" w:rsidR="00B448D2" w:rsidRDefault="00B448D2" w:rsidP="00B448D2">
      <w:pPr>
        <w:spacing w:line="276" w:lineRule="auto"/>
        <w:jc w:val="right"/>
        <w:rPr>
          <w:rFonts w:eastAsia="Times New Roman" w:cs="Calibri"/>
          <w:b/>
          <w:bCs/>
          <w:sz w:val="22"/>
          <w:szCs w:val="22"/>
          <w:lang w:eastAsia="pl-PL"/>
        </w:rPr>
      </w:pPr>
    </w:p>
    <w:p w14:paraId="5075EAB1" w14:textId="6D41B7AC" w:rsidR="00B448D2" w:rsidRPr="005763B5" w:rsidRDefault="00B448D2" w:rsidP="00B448D2">
      <w:pPr>
        <w:spacing w:line="276" w:lineRule="auto"/>
        <w:jc w:val="right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Warszawa | 1</w:t>
      </w:r>
      <w:r>
        <w:rPr>
          <w:rFonts w:eastAsia="Times New Roman" w:cs="Calibri"/>
          <w:b/>
          <w:bCs/>
          <w:sz w:val="22"/>
          <w:szCs w:val="22"/>
          <w:lang w:eastAsia="pl-PL"/>
        </w:rPr>
        <w:t>7</w:t>
      </w: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 xml:space="preserve"> kwietnia 2026 r.</w:t>
      </w:r>
    </w:p>
    <w:p w14:paraId="56B961FD" w14:textId="77777777" w:rsidR="00B448D2" w:rsidRPr="005763B5" w:rsidRDefault="00B448D2" w:rsidP="00B448D2">
      <w:pPr>
        <w:spacing w:line="276" w:lineRule="auto"/>
        <w:jc w:val="both"/>
        <w:outlineLvl w:val="0"/>
        <w:rPr>
          <w:rFonts w:eastAsia="Times New Roman" w:cs="Calibri"/>
          <w:b/>
          <w:bCs/>
          <w:kern w:val="36"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kern w:val="36"/>
          <w:sz w:val="22"/>
          <w:szCs w:val="22"/>
          <w:lang w:eastAsia="pl-PL"/>
        </w:rPr>
        <w:t>INFORMACJA PRASOWA</w:t>
      </w:r>
    </w:p>
    <w:p w14:paraId="20F11C7A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b/>
          <w:bCs/>
          <w:sz w:val="22"/>
          <w:szCs w:val="22"/>
          <w:lang w:eastAsia="pl-PL"/>
        </w:rPr>
      </w:pPr>
    </w:p>
    <w:p w14:paraId="5CDE2792" w14:textId="77777777" w:rsidR="00B448D2" w:rsidRPr="005763B5" w:rsidRDefault="00B448D2" w:rsidP="00B448D2">
      <w:pPr>
        <w:spacing w:line="276" w:lineRule="auto"/>
        <w:jc w:val="center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Ranking cen ładowania</w:t>
      </w:r>
    </w:p>
    <w:p w14:paraId="51A0EF2B" w14:textId="77777777" w:rsidR="00B448D2" w:rsidRPr="005763B5" w:rsidRDefault="00B448D2" w:rsidP="00B448D2">
      <w:pPr>
        <w:spacing w:line="276" w:lineRule="auto"/>
        <w:jc w:val="center"/>
        <w:outlineLvl w:val="1"/>
        <w:rPr>
          <w:rFonts w:eastAsia="Times New Roman" w:cs="Calibri"/>
          <w:b/>
          <w:bCs/>
          <w:sz w:val="28"/>
          <w:szCs w:val="28"/>
          <w:lang w:eastAsia="pl-PL"/>
        </w:rPr>
      </w:pPr>
      <w:r w:rsidRPr="005763B5">
        <w:rPr>
          <w:rFonts w:eastAsia="Times New Roman" w:cs="Calibri"/>
          <w:b/>
          <w:bCs/>
          <w:sz w:val="28"/>
          <w:szCs w:val="28"/>
          <w:lang w:eastAsia="pl-PL"/>
        </w:rPr>
        <w:t xml:space="preserve">ORLEN </w:t>
      </w:r>
      <w:proofErr w:type="spellStart"/>
      <w:r w:rsidRPr="005763B5">
        <w:rPr>
          <w:rFonts w:eastAsia="Times New Roman" w:cs="Calibri"/>
          <w:b/>
          <w:bCs/>
          <w:sz w:val="28"/>
          <w:szCs w:val="28"/>
          <w:lang w:eastAsia="pl-PL"/>
        </w:rPr>
        <w:t>Charge</w:t>
      </w:r>
      <w:proofErr w:type="spellEnd"/>
      <w:r w:rsidRPr="005763B5">
        <w:rPr>
          <w:rFonts w:eastAsia="Times New Roman" w:cs="Calibri"/>
          <w:b/>
          <w:bCs/>
          <w:sz w:val="28"/>
          <w:szCs w:val="28"/>
          <w:lang w:eastAsia="pl-PL"/>
        </w:rPr>
        <w:t xml:space="preserve"> upraszcza cennik</w:t>
      </w:r>
      <w:r>
        <w:rPr>
          <w:rFonts w:eastAsia="Times New Roman" w:cs="Calibri"/>
          <w:b/>
          <w:bCs/>
          <w:sz w:val="28"/>
          <w:szCs w:val="28"/>
          <w:lang w:eastAsia="pl-PL"/>
        </w:rPr>
        <w:t xml:space="preserve"> i wprowadza promocję</w:t>
      </w:r>
      <w:r w:rsidRPr="005763B5">
        <w:rPr>
          <w:rFonts w:eastAsia="Times New Roman" w:cs="Calibri"/>
          <w:b/>
          <w:bCs/>
          <w:sz w:val="28"/>
          <w:szCs w:val="28"/>
          <w:lang w:eastAsia="pl-PL"/>
        </w:rPr>
        <w:t>, Tesla podnosi ceny, a Tauron kusi dynamicznymi stawkami</w:t>
      </w:r>
    </w:p>
    <w:p w14:paraId="26042A60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b/>
          <w:bCs/>
          <w:sz w:val="22"/>
          <w:szCs w:val="22"/>
          <w:lang w:eastAsia="pl-PL"/>
        </w:rPr>
      </w:pPr>
    </w:p>
    <w:p w14:paraId="08DA71FB" w14:textId="77777777" w:rsidR="00B448D2" w:rsidRDefault="00B448D2" w:rsidP="00B448D2">
      <w:pPr>
        <w:spacing w:line="276" w:lineRule="auto"/>
        <w:jc w:val="both"/>
        <w:rPr>
          <w:rFonts w:eastAsia="Times New Roman" w:cs="Calibri"/>
          <w:b/>
          <w:bCs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 xml:space="preserve">Kwiecień 2026 przynosi </w:t>
      </w:r>
      <w:r>
        <w:rPr>
          <w:rFonts w:eastAsia="Times New Roman" w:cs="Calibri"/>
          <w:b/>
          <w:bCs/>
          <w:sz w:val="22"/>
          <w:szCs w:val="22"/>
          <w:lang w:eastAsia="pl-PL"/>
        </w:rPr>
        <w:t>t</w:t>
      </w:r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 xml:space="preserve">rzy duże zmiany </w:t>
      </w:r>
      <w:r>
        <w:rPr>
          <w:rFonts w:eastAsia="Times New Roman" w:cs="Calibri"/>
          <w:b/>
          <w:bCs/>
          <w:sz w:val="22"/>
          <w:szCs w:val="22"/>
          <w:lang w:eastAsia="pl-PL"/>
        </w:rPr>
        <w:t>na rynku infrastruktury ładowania pojazdów elektrycznych.</w:t>
      </w:r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 xml:space="preserve"> ORLEN </w:t>
      </w:r>
      <w:proofErr w:type="spellStart"/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>Charge</w:t>
      </w:r>
      <w:proofErr w:type="spellEnd"/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 xml:space="preserve"> kasuje podział cenowy według mocy</w:t>
      </w:r>
      <w:r>
        <w:rPr>
          <w:rFonts w:eastAsia="Times New Roman" w:cs="Calibri"/>
          <w:b/>
          <w:bCs/>
          <w:sz w:val="22"/>
          <w:szCs w:val="22"/>
          <w:lang w:eastAsia="pl-PL"/>
        </w:rPr>
        <w:t xml:space="preserve"> i wprowadza promocję, dzięki czemu oferuje jedne z najkorzystniejszych cen na rynku.</w:t>
      </w:r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 xml:space="preserve"> Tesla</w:t>
      </w:r>
      <w:r>
        <w:rPr>
          <w:rFonts w:eastAsia="Times New Roman" w:cs="Calibri"/>
          <w:b/>
          <w:bCs/>
          <w:sz w:val="22"/>
          <w:szCs w:val="22"/>
          <w:lang w:eastAsia="pl-PL"/>
        </w:rPr>
        <w:t xml:space="preserve"> z kolei</w:t>
      </w:r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 xml:space="preserve"> podnosi stawki średnio o 10-20 groszy, a Tauron i </w:t>
      </w:r>
      <w:proofErr w:type="spellStart"/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>Ekoen</w:t>
      </w:r>
      <w:proofErr w:type="spellEnd"/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 xml:space="preserve"> schodzą poniżej 2 zł na szybkim ładowaniu DC</w:t>
      </w:r>
      <w:r>
        <w:rPr>
          <w:rFonts w:eastAsia="Times New Roman" w:cs="Calibri"/>
          <w:b/>
          <w:bCs/>
          <w:sz w:val="22"/>
          <w:szCs w:val="22"/>
          <w:lang w:eastAsia="pl-PL"/>
        </w:rPr>
        <w:t>,</w:t>
      </w:r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 xml:space="preserve"> dzięki taryfom dynamicznym. </w:t>
      </w:r>
      <w:r>
        <w:rPr>
          <w:rFonts w:eastAsia="Times New Roman" w:cs="Calibri"/>
          <w:b/>
          <w:bCs/>
          <w:sz w:val="22"/>
          <w:szCs w:val="22"/>
          <w:lang w:eastAsia="pl-PL"/>
        </w:rPr>
        <w:t>To jednak początek nadchodzących zmian</w:t>
      </w:r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>.</w:t>
      </w:r>
    </w:p>
    <w:p w14:paraId="3F535A23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7BB5D424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0C26CD">
        <w:rPr>
          <w:rFonts w:eastAsia="Times New Roman" w:cs="Calibri"/>
          <w:sz w:val="22"/>
          <w:szCs w:val="22"/>
          <w:lang w:eastAsia="pl-PL"/>
        </w:rPr>
        <w:t>C</w:t>
      </w:r>
      <w:r w:rsidRPr="005763B5">
        <w:rPr>
          <w:rFonts w:eastAsia="Times New Roman" w:cs="Calibri"/>
          <w:sz w:val="22"/>
          <w:szCs w:val="22"/>
          <w:lang w:eastAsia="pl-PL"/>
        </w:rPr>
        <w:t>omies</w:t>
      </w:r>
      <w:r w:rsidRPr="000C26CD">
        <w:rPr>
          <w:rFonts w:eastAsia="Times New Roman" w:cs="Calibri"/>
          <w:sz w:val="22"/>
          <w:szCs w:val="22"/>
          <w:lang w:eastAsia="pl-PL"/>
        </w:rPr>
        <w:t>ięczna a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naliza przeprowadzana przez EV Klub Polska i elektromobilni.pl pokazuje, że polski rynek ładowania </w:t>
      </w:r>
      <w:r w:rsidRPr="000C26CD">
        <w:rPr>
          <w:rFonts w:eastAsia="Times New Roman" w:cs="Calibri"/>
          <w:sz w:val="22"/>
          <w:szCs w:val="22"/>
          <w:lang w:eastAsia="pl-PL"/>
        </w:rPr>
        <w:t>samochodów elektrycznych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wciąż pozostaje jednym z najbardziej zróżnicowanych cenowo w Europie. W zależności od operatora, lokalizacji, mocy ładowarki i pory dnia, kierowca może zapłacić </w:t>
      </w:r>
      <w:r>
        <w:rPr>
          <w:rFonts w:eastAsia="Times New Roman" w:cs="Calibri"/>
          <w:sz w:val="22"/>
          <w:szCs w:val="22"/>
          <w:lang w:eastAsia="pl-PL"/>
        </w:rPr>
        <w:t xml:space="preserve">za usługę ładowania </w:t>
      </w:r>
      <w:r w:rsidRPr="005763B5">
        <w:rPr>
          <w:rFonts w:eastAsia="Times New Roman" w:cs="Calibri"/>
          <w:sz w:val="22"/>
          <w:szCs w:val="22"/>
          <w:lang w:eastAsia="pl-PL"/>
        </w:rPr>
        <w:t>od 0,99 zł do nawet 3,59 zł za kilowatogodzinę</w:t>
      </w:r>
      <w:r w:rsidRPr="000C26CD">
        <w:rPr>
          <w:rFonts w:eastAsia="Times New Roman" w:cs="Calibri"/>
          <w:sz w:val="22"/>
          <w:szCs w:val="22"/>
          <w:lang w:eastAsia="pl-PL"/>
        </w:rPr>
        <w:t>.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</w:t>
      </w:r>
      <w:r w:rsidRPr="000C26CD">
        <w:rPr>
          <w:rFonts w:eastAsia="Times New Roman" w:cs="Calibri"/>
          <w:sz w:val="22"/>
          <w:szCs w:val="22"/>
          <w:lang w:eastAsia="pl-PL"/>
        </w:rPr>
        <w:t>R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óżnica </w:t>
      </w:r>
      <w:r w:rsidRPr="000C26CD">
        <w:rPr>
          <w:rFonts w:eastAsia="Times New Roman" w:cs="Calibri"/>
          <w:sz w:val="22"/>
          <w:szCs w:val="22"/>
          <w:lang w:eastAsia="pl-PL"/>
        </w:rPr>
        <w:t>wykracza ponad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26</w:t>
      </w:r>
      <w:r>
        <w:rPr>
          <w:rFonts w:eastAsia="Times New Roman" w:cs="Calibri"/>
          <w:sz w:val="22"/>
          <w:szCs w:val="22"/>
          <w:lang w:eastAsia="pl-PL"/>
        </w:rPr>
        <w:t>0</w:t>
      </w:r>
      <w:r w:rsidRPr="005763B5">
        <w:rPr>
          <w:rFonts w:eastAsia="Times New Roman" w:cs="Calibri"/>
          <w:sz w:val="22"/>
          <w:szCs w:val="22"/>
          <w:lang w:eastAsia="pl-PL"/>
        </w:rPr>
        <w:t>%</w:t>
      </w:r>
      <w:r w:rsidRPr="000C26CD">
        <w:rPr>
          <w:rFonts w:eastAsia="Times New Roman" w:cs="Calibri"/>
          <w:sz w:val="22"/>
          <w:szCs w:val="22"/>
          <w:lang w:eastAsia="pl-PL"/>
        </w:rPr>
        <w:t>, gdyż poza kwestią ceny równie znaczące jest skomplikowanie cenników oraz potencjalnych polityk cenowych</w:t>
      </w:r>
      <w:r w:rsidRPr="005763B5">
        <w:rPr>
          <w:rFonts w:eastAsia="Times New Roman" w:cs="Calibri"/>
          <w:sz w:val="22"/>
          <w:szCs w:val="22"/>
          <w:lang w:eastAsia="pl-PL"/>
        </w:rPr>
        <w:t>.</w:t>
      </w:r>
    </w:p>
    <w:p w14:paraId="09986AB5" w14:textId="77777777" w:rsidR="00B448D2" w:rsidRPr="000C26CD" w:rsidRDefault="00B448D2" w:rsidP="00B448D2">
      <w:pPr>
        <w:spacing w:line="276" w:lineRule="auto"/>
        <w:jc w:val="both"/>
        <w:outlineLvl w:val="2"/>
        <w:rPr>
          <w:rFonts w:eastAsia="Times New Roman" w:cs="Calibri"/>
          <w:b/>
          <w:bCs/>
          <w:sz w:val="22"/>
          <w:szCs w:val="22"/>
          <w:lang w:eastAsia="pl-PL"/>
        </w:rPr>
      </w:pPr>
    </w:p>
    <w:p w14:paraId="37425E5F" w14:textId="77777777" w:rsidR="00B448D2" w:rsidRPr="005763B5" w:rsidRDefault="00B448D2" w:rsidP="00B448D2">
      <w:pPr>
        <w:spacing w:line="276" w:lineRule="auto"/>
        <w:jc w:val="both"/>
        <w:outlineLvl w:val="2"/>
        <w:rPr>
          <w:rFonts w:eastAsia="Times New Roman" w:cs="Calibri"/>
          <w:b/>
          <w:bCs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 xml:space="preserve">ORLEN </w:t>
      </w:r>
      <w:proofErr w:type="spellStart"/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Charge</w:t>
      </w:r>
      <w:proofErr w:type="spellEnd"/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 xml:space="preserve"> – jeden cennik dla całej sieci</w:t>
      </w:r>
    </w:p>
    <w:p w14:paraId="082B3A55" w14:textId="77777777" w:rsidR="00B448D2" w:rsidRPr="00BC4646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Największą zmianą </w:t>
      </w:r>
      <w:r w:rsidRPr="000C26CD">
        <w:rPr>
          <w:rFonts w:eastAsia="Times New Roman" w:cs="Calibri"/>
          <w:sz w:val="22"/>
          <w:szCs w:val="22"/>
          <w:lang w:eastAsia="pl-PL"/>
        </w:rPr>
        <w:t xml:space="preserve">w </w:t>
      </w:r>
      <w:r w:rsidRPr="005763B5">
        <w:rPr>
          <w:rFonts w:eastAsia="Times New Roman" w:cs="Calibri"/>
          <w:sz w:val="22"/>
          <w:szCs w:val="22"/>
          <w:lang w:eastAsia="pl-PL"/>
        </w:rPr>
        <w:t>kwietni</w:t>
      </w:r>
      <w:r w:rsidRPr="000C26CD">
        <w:rPr>
          <w:rFonts w:eastAsia="Times New Roman" w:cs="Calibri"/>
          <w:sz w:val="22"/>
          <w:szCs w:val="22"/>
          <w:lang w:eastAsia="pl-PL"/>
        </w:rPr>
        <w:t>u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</w:t>
      </w:r>
      <w:r w:rsidRPr="000C26CD">
        <w:rPr>
          <w:rFonts w:eastAsia="Times New Roman" w:cs="Calibri"/>
          <w:sz w:val="22"/>
          <w:szCs w:val="22"/>
          <w:lang w:eastAsia="pl-PL"/>
        </w:rPr>
        <w:t>– na lepsze –</w:t>
      </w:r>
      <w:r>
        <w:rPr>
          <w:rFonts w:eastAsia="Times New Roman" w:cs="Calibri"/>
          <w:sz w:val="22"/>
          <w:szCs w:val="22"/>
          <w:lang w:eastAsia="pl-PL"/>
        </w:rPr>
        <w:t xml:space="preserve"> 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jest wprowadzenie przez ORLEN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Charge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nowego, uproszczonego cennika. Operator zrezygnował z różnicowania stawek w zależności od mocy stacji i </w:t>
      </w:r>
      <w:r w:rsidRPr="000C26CD">
        <w:rPr>
          <w:rFonts w:eastAsia="Times New Roman" w:cs="Calibri"/>
          <w:sz w:val="22"/>
          <w:szCs w:val="22"/>
          <w:lang w:eastAsia="pl-PL"/>
        </w:rPr>
        <w:t>pozostawił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dwie proste </w:t>
      </w:r>
      <w:r>
        <w:rPr>
          <w:rFonts w:eastAsia="Times New Roman" w:cs="Calibri"/>
          <w:sz w:val="22"/>
          <w:szCs w:val="22"/>
          <w:lang w:eastAsia="pl-PL"/>
        </w:rPr>
        <w:t>ceny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: 1,95 zł/kWh </w:t>
      </w:r>
      <w:r w:rsidRPr="000C26CD">
        <w:rPr>
          <w:rFonts w:eastAsia="Times New Roman" w:cs="Calibri"/>
          <w:sz w:val="22"/>
          <w:szCs w:val="22"/>
          <w:lang w:eastAsia="pl-PL"/>
        </w:rPr>
        <w:t>w przypadku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ładowani</w:t>
      </w:r>
      <w:r w:rsidRPr="000C26CD">
        <w:rPr>
          <w:rFonts w:eastAsia="Times New Roman" w:cs="Calibri"/>
          <w:sz w:val="22"/>
          <w:szCs w:val="22"/>
          <w:lang w:eastAsia="pl-PL"/>
        </w:rPr>
        <w:t>a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AC oraz 2,69 zł/kWh za ładowanie DC</w:t>
      </w:r>
      <w:r w:rsidRPr="000C26CD">
        <w:rPr>
          <w:rFonts w:eastAsia="Times New Roman" w:cs="Calibri"/>
          <w:sz w:val="22"/>
          <w:szCs w:val="22"/>
          <w:lang w:eastAsia="pl-PL"/>
        </w:rPr>
        <w:t xml:space="preserve"> (od </w:t>
      </w:r>
      <w:r>
        <w:rPr>
          <w:rFonts w:eastAsia="Times New Roman" w:cs="Calibri"/>
          <w:sz w:val="22"/>
          <w:szCs w:val="22"/>
          <w:lang w:eastAsia="pl-PL"/>
        </w:rPr>
        <w:t>50</w:t>
      </w:r>
      <w:r w:rsidRPr="000C26CD">
        <w:rPr>
          <w:rFonts w:eastAsia="Times New Roman" w:cs="Calibri"/>
          <w:sz w:val="22"/>
          <w:szCs w:val="22"/>
          <w:lang w:eastAsia="pl-PL"/>
        </w:rPr>
        <w:t xml:space="preserve"> do 400 kW)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– niezależnie od mocy ładowarki. To znacząca zmiana dla użytkowników, którzy do tej pory musieli spra</w:t>
      </w:r>
      <w:r w:rsidRPr="00BC4646">
        <w:rPr>
          <w:rFonts w:eastAsia="Times New Roman" w:cs="Calibri"/>
          <w:sz w:val="22"/>
          <w:szCs w:val="22"/>
          <w:lang w:eastAsia="pl-PL"/>
        </w:rPr>
        <w:t xml:space="preserve">wdzać, czy dana stacja ma moc do 50 kW, do 125 kW czy powyżej 125 </w:t>
      </w:r>
      <w:proofErr w:type="spellStart"/>
      <w:r w:rsidRPr="00BC4646">
        <w:rPr>
          <w:rFonts w:eastAsia="Times New Roman" w:cs="Calibri"/>
          <w:sz w:val="22"/>
          <w:szCs w:val="22"/>
          <w:lang w:eastAsia="pl-PL"/>
        </w:rPr>
        <w:t>kW.</w:t>
      </w:r>
      <w:proofErr w:type="spellEnd"/>
    </w:p>
    <w:p w14:paraId="7D697DDB" w14:textId="77777777" w:rsidR="00B448D2" w:rsidRPr="00BC4646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530E367D" w14:textId="77777777" w:rsidR="00B448D2" w:rsidRPr="00BC4646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BC4646">
        <w:rPr>
          <w:rFonts w:eastAsia="Times New Roman" w:cs="Calibri"/>
          <w:sz w:val="22"/>
          <w:szCs w:val="22"/>
          <w:lang w:eastAsia="pl-PL"/>
        </w:rPr>
        <w:t xml:space="preserve">Przy tej zmianie należy zaznaczyć, że podjęta przesz ORLEN </w:t>
      </w:r>
      <w:proofErr w:type="spellStart"/>
      <w:r w:rsidRPr="00BC4646">
        <w:rPr>
          <w:rFonts w:eastAsia="Times New Roman" w:cs="Calibri"/>
          <w:sz w:val="22"/>
          <w:szCs w:val="22"/>
          <w:lang w:eastAsia="pl-PL"/>
        </w:rPr>
        <w:t>Charge</w:t>
      </w:r>
      <w:proofErr w:type="spellEnd"/>
      <w:r w:rsidRPr="00BC4646">
        <w:rPr>
          <w:rFonts w:eastAsia="Times New Roman" w:cs="Calibri"/>
          <w:sz w:val="22"/>
          <w:szCs w:val="22"/>
          <w:lang w:eastAsia="pl-PL"/>
        </w:rPr>
        <w:t xml:space="preserve"> decyzja działa na rzecz zmniejszenia kosztów – zwłaszcza dla osób korzystających z najszybszych ładowarek – gdyż na stacjach powyżej 125 kW (wcześniej 3,19 zł/kWh), klienci odczują spadek o prawie 16%. Ci którzy korzystali do tej pory ze stacji do 50 kW, gdzie obowiązywała stawka 2,69 zł/kWh, nie zobaczą różnicy.</w:t>
      </w:r>
    </w:p>
    <w:p w14:paraId="634D43E2" w14:textId="77777777" w:rsidR="00B448D2" w:rsidRPr="00BC4646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26321337" w14:textId="77777777" w:rsidR="00B448D2" w:rsidRPr="00BC4646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BC4646">
        <w:rPr>
          <w:rFonts w:eastAsia="Times New Roman" w:cs="Calibri"/>
          <w:sz w:val="22"/>
          <w:szCs w:val="22"/>
          <w:lang w:eastAsia="pl-PL"/>
        </w:rPr>
        <w:t xml:space="preserve">Kolejnym atutem jaki wprowadza ORLEN jest promocja, która startuje od 17 kwietnia i potrwa do 25 maja. Dla wszystkich użytkowników aplikacji ORLEN </w:t>
      </w:r>
      <w:proofErr w:type="spellStart"/>
      <w:r w:rsidRPr="00BC4646">
        <w:rPr>
          <w:rFonts w:eastAsia="Times New Roman" w:cs="Calibri"/>
          <w:sz w:val="22"/>
          <w:szCs w:val="22"/>
          <w:lang w:eastAsia="pl-PL"/>
        </w:rPr>
        <w:t>Vitay</w:t>
      </w:r>
      <w:proofErr w:type="spellEnd"/>
      <w:r w:rsidRPr="00BC4646">
        <w:rPr>
          <w:rFonts w:eastAsia="Times New Roman" w:cs="Calibri"/>
          <w:sz w:val="22"/>
          <w:szCs w:val="22"/>
          <w:lang w:eastAsia="pl-PL"/>
        </w:rPr>
        <w:t xml:space="preserve"> oraz do 5 maja ORLEN </w:t>
      </w:r>
      <w:proofErr w:type="spellStart"/>
      <w:r w:rsidRPr="00BC4646">
        <w:rPr>
          <w:rFonts w:eastAsia="Times New Roman" w:cs="Calibri"/>
          <w:sz w:val="22"/>
          <w:szCs w:val="22"/>
          <w:lang w:eastAsia="pl-PL"/>
        </w:rPr>
        <w:t>Charge</w:t>
      </w:r>
      <w:proofErr w:type="spellEnd"/>
      <w:r w:rsidRPr="00BC4646">
        <w:rPr>
          <w:rFonts w:eastAsia="Times New Roman" w:cs="Calibri"/>
          <w:sz w:val="22"/>
          <w:szCs w:val="22"/>
          <w:lang w:eastAsia="pl-PL"/>
        </w:rPr>
        <w:t xml:space="preserve"> (po 5 maja aplikacja zostanie wyłączona), operator wprowadza 20 proc. rabat dla ładowania DC. Oznacza to, że klienci zamiast 2,69 zł/kWh zapłacą jedynie 2,15 zł/kWh. </w:t>
      </w:r>
    </w:p>
    <w:p w14:paraId="6A17DDD9" w14:textId="77777777" w:rsidR="00B448D2" w:rsidRPr="00BC4646" w:rsidRDefault="00B448D2" w:rsidP="00B448D2">
      <w:pPr>
        <w:spacing w:line="276" w:lineRule="auto"/>
        <w:jc w:val="both"/>
        <w:outlineLvl w:val="2"/>
        <w:rPr>
          <w:rFonts w:eastAsia="Times New Roman" w:cs="Calibri"/>
          <w:sz w:val="22"/>
          <w:szCs w:val="22"/>
          <w:lang w:eastAsia="pl-PL"/>
        </w:rPr>
      </w:pPr>
    </w:p>
    <w:p w14:paraId="30A6C8DE" w14:textId="77777777" w:rsidR="00B448D2" w:rsidRPr="00BC4646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BC4646">
        <w:rPr>
          <w:rFonts w:eastAsia="Times New Roman" w:cs="Calibri"/>
          <w:i/>
          <w:iCs/>
          <w:sz w:val="22"/>
          <w:szCs w:val="22"/>
          <w:lang w:eastAsia="pl-PL"/>
        </w:rPr>
        <w:t xml:space="preserve">„Uproszczenie cennika przez ORLEN </w:t>
      </w:r>
      <w:proofErr w:type="spellStart"/>
      <w:r w:rsidRPr="00BC4646">
        <w:rPr>
          <w:rFonts w:eastAsia="Times New Roman" w:cs="Calibri"/>
          <w:i/>
          <w:iCs/>
          <w:sz w:val="22"/>
          <w:szCs w:val="22"/>
          <w:lang w:eastAsia="pl-PL"/>
        </w:rPr>
        <w:t>Charge</w:t>
      </w:r>
      <w:proofErr w:type="spellEnd"/>
      <w:r w:rsidRPr="00BC4646">
        <w:rPr>
          <w:rFonts w:eastAsia="Times New Roman" w:cs="Calibri"/>
          <w:i/>
          <w:iCs/>
          <w:sz w:val="22"/>
          <w:szCs w:val="22"/>
          <w:lang w:eastAsia="pl-PL"/>
        </w:rPr>
        <w:t xml:space="preserve"> to krok w dobrą stronę dla przejrzystości rynku. Użytkownicy nie muszą już zastanawiać się, jaką moc ma dana stacja – płacą jedną cenę za AC, drugą za DC. Jednocześnie widzimy jak czwarty największy operator w kraju konsekwentnie realizuje strategię dostosowywania cen do oczekiwań użytkowników. Nowa promocja to najlepszy dowód. 2,15 zł/kWh to </w:t>
      </w:r>
      <w:r w:rsidRPr="00BC4646">
        <w:rPr>
          <w:rFonts w:eastAsia="Times New Roman" w:cs="Calibri"/>
          <w:i/>
          <w:iCs/>
          <w:sz w:val="22"/>
          <w:szCs w:val="22"/>
          <w:lang w:eastAsia="pl-PL"/>
        </w:rPr>
        <w:lastRenderedPageBreak/>
        <w:t>obecnie jedna z niższych stawek za ładowanie DC”</w:t>
      </w:r>
      <w:r w:rsidRPr="00BC4646">
        <w:rPr>
          <w:rFonts w:eastAsia="Times New Roman" w:cs="Calibri"/>
          <w:sz w:val="22"/>
          <w:szCs w:val="22"/>
          <w:lang w:eastAsia="pl-PL"/>
        </w:rPr>
        <w:t xml:space="preserve"> – komentuje </w:t>
      </w:r>
      <w:r w:rsidRPr="00BC4646">
        <w:rPr>
          <w:rFonts w:eastAsia="Times New Roman" w:cs="Calibri"/>
          <w:b/>
          <w:bCs/>
          <w:sz w:val="22"/>
          <w:szCs w:val="22"/>
          <w:lang w:eastAsia="pl-PL"/>
        </w:rPr>
        <w:t>Łukasz Lewandowski</w:t>
      </w:r>
      <w:r w:rsidRPr="00BC4646">
        <w:rPr>
          <w:rFonts w:eastAsia="Times New Roman" w:cs="Calibri"/>
          <w:sz w:val="22"/>
          <w:szCs w:val="22"/>
          <w:lang w:eastAsia="pl-PL"/>
        </w:rPr>
        <w:t>, Prezes EV Klub Polska.</w:t>
      </w:r>
    </w:p>
    <w:p w14:paraId="0974A9DE" w14:textId="77777777" w:rsidR="00B448D2" w:rsidRPr="000C26CD" w:rsidRDefault="00B448D2" w:rsidP="00B448D2">
      <w:pPr>
        <w:spacing w:line="276" w:lineRule="auto"/>
        <w:jc w:val="both"/>
        <w:outlineLvl w:val="2"/>
        <w:rPr>
          <w:rFonts w:eastAsia="Times New Roman" w:cs="Calibri"/>
          <w:sz w:val="22"/>
          <w:szCs w:val="22"/>
          <w:lang w:eastAsia="pl-PL"/>
        </w:rPr>
      </w:pPr>
    </w:p>
    <w:p w14:paraId="5BA56C7C" w14:textId="77777777" w:rsidR="00B448D2" w:rsidRPr="005763B5" w:rsidRDefault="00B448D2" w:rsidP="00B448D2">
      <w:pPr>
        <w:spacing w:line="276" w:lineRule="auto"/>
        <w:jc w:val="both"/>
        <w:outlineLvl w:val="2"/>
        <w:rPr>
          <w:rFonts w:eastAsia="Times New Roman" w:cs="Calibri"/>
          <w:b/>
          <w:bCs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Tesla – wzrosty od 10 do 20 groszy za kWh</w:t>
      </w:r>
    </w:p>
    <w:p w14:paraId="743FABC8" w14:textId="77777777" w:rsidR="00B448D2" w:rsidRPr="00917CBA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Tesla wprowadza zmiany cen na </w:t>
      </w:r>
      <w:r w:rsidRPr="000C26CD">
        <w:rPr>
          <w:rFonts w:eastAsia="Times New Roman" w:cs="Calibri"/>
          <w:sz w:val="22"/>
          <w:szCs w:val="22"/>
          <w:lang w:eastAsia="pl-PL"/>
        </w:rPr>
        <w:t>większości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Supercharger</w:t>
      </w:r>
      <w:r w:rsidRPr="000C26CD">
        <w:rPr>
          <w:rFonts w:eastAsia="Times New Roman" w:cs="Calibri"/>
          <w:sz w:val="22"/>
          <w:szCs w:val="22"/>
          <w:lang w:eastAsia="pl-PL"/>
        </w:rPr>
        <w:t>ów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w Polsce. W zależności od lokalizacji i pory dnia</w:t>
      </w:r>
      <w:r>
        <w:rPr>
          <w:rFonts w:eastAsia="Times New Roman" w:cs="Calibri"/>
          <w:sz w:val="22"/>
          <w:szCs w:val="22"/>
          <w:lang w:eastAsia="pl-PL"/>
        </w:rPr>
        <w:t>,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ceny wzrosły od 10 do 20 groszy za kilowatogodzinę</w:t>
      </w:r>
      <w:r w:rsidRPr="000C26CD">
        <w:rPr>
          <w:rFonts w:eastAsia="Times New Roman" w:cs="Calibri"/>
          <w:sz w:val="22"/>
          <w:szCs w:val="22"/>
          <w:lang w:eastAsia="pl-PL"/>
        </w:rPr>
        <w:t>, a w niektórych lokalizacjach dokonano korekty cennika o 10 groszy w dół</w:t>
      </w:r>
      <w:r w:rsidRPr="005763B5">
        <w:rPr>
          <w:rFonts w:eastAsia="Times New Roman" w:cs="Calibri"/>
          <w:sz w:val="22"/>
          <w:szCs w:val="22"/>
          <w:lang w:eastAsia="pl-PL"/>
        </w:rPr>
        <w:t>. Mediana wynosi obecnie o</w:t>
      </w:r>
      <w:r w:rsidRPr="000C26CD">
        <w:rPr>
          <w:rFonts w:eastAsia="Times New Roman" w:cs="Calibri"/>
          <w:sz w:val="22"/>
          <w:szCs w:val="22"/>
          <w:lang w:eastAsia="pl-PL"/>
        </w:rPr>
        <w:t>k.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2,30 zł/kWh dla pojazdów </w:t>
      </w:r>
      <w:r>
        <w:rPr>
          <w:rFonts w:eastAsia="Times New Roman" w:cs="Calibri"/>
          <w:sz w:val="22"/>
          <w:szCs w:val="22"/>
          <w:lang w:eastAsia="pl-PL"/>
        </w:rPr>
        <w:t>innych niż Tesla.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</w:t>
      </w:r>
      <w:r>
        <w:rPr>
          <w:rFonts w:eastAsia="Times New Roman" w:cs="Calibri"/>
          <w:sz w:val="22"/>
          <w:szCs w:val="22"/>
          <w:lang w:eastAsia="pl-PL"/>
        </w:rPr>
        <w:t>P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osiadacze </w:t>
      </w:r>
      <w:r w:rsidRPr="000C26CD">
        <w:rPr>
          <w:rFonts w:eastAsia="Times New Roman" w:cs="Calibri"/>
          <w:sz w:val="22"/>
          <w:szCs w:val="22"/>
          <w:lang w:eastAsia="pl-PL"/>
        </w:rPr>
        <w:t>aut amerykańskiego producenta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</w:t>
      </w:r>
      <w:r>
        <w:rPr>
          <w:rFonts w:eastAsia="Times New Roman" w:cs="Calibri"/>
          <w:sz w:val="22"/>
          <w:szCs w:val="22"/>
          <w:lang w:eastAsia="pl-PL"/>
        </w:rPr>
        <w:t xml:space="preserve">są w uprzywilejowanej sytuacji z cennikiem rozpoczynającym się od </w:t>
      </w:r>
      <w:r w:rsidRPr="005763B5">
        <w:rPr>
          <w:rFonts w:eastAsia="Times New Roman" w:cs="Calibri"/>
          <w:sz w:val="22"/>
          <w:szCs w:val="22"/>
          <w:lang w:eastAsia="pl-PL"/>
        </w:rPr>
        <w:t>1,00 zł/kWh w najtańszych lokalizacjach i godzinach.</w:t>
      </w:r>
    </w:p>
    <w:p w14:paraId="49AE1696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36A546CB" w14:textId="77777777" w:rsidR="00B448D2" w:rsidRPr="005763B5" w:rsidRDefault="00B448D2" w:rsidP="00B448D2">
      <w:pPr>
        <w:spacing w:line="276" w:lineRule="auto"/>
        <w:jc w:val="both"/>
        <w:outlineLvl w:val="2"/>
        <w:rPr>
          <w:rFonts w:eastAsia="Times New Roman" w:cs="Calibri"/>
          <w:b/>
          <w:bCs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Taryfy dynamiczne – poniżej 2 zł także na DC</w:t>
      </w:r>
    </w:p>
    <w:p w14:paraId="7D99AC77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>Tauron, posiadający stacje ładowania oparte o taryfę dynamiczną, oferuje coraz korzystniejsze stawki w godzinach wysokiej generacji z O</w:t>
      </w:r>
      <w:r w:rsidRPr="000C26CD">
        <w:rPr>
          <w:rFonts w:eastAsia="Times New Roman" w:cs="Calibri"/>
          <w:sz w:val="22"/>
          <w:szCs w:val="22"/>
          <w:lang w:eastAsia="pl-PL"/>
        </w:rPr>
        <w:t xml:space="preserve">dnawialnych Źródeł </w:t>
      </w:r>
      <w:r w:rsidRPr="005763B5">
        <w:rPr>
          <w:rFonts w:eastAsia="Times New Roman" w:cs="Calibri"/>
          <w:sz w:val="22"/>
          <w:szCs w:val="22"/>
          <w:lang w:eastAsia="pl-PL"/>
        </w:rPr>
        <w:t>E</w:t>
      </w:r>
      <w:r w:rsidRPr="000C26CD">
        <w:rPr>
          <w:rFonts w:eastAsia="Times New Roman" w:cs="Calibri"/>
          <w:sz w:val="22"/>
          <w:szCs w:val="22"/>
          <w:lang w:eastAsia="pl-PL"/>
        </w:rPr>
        <w:t>nergii (OZE)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. Przez rosnącą ilość energii słonecznej w systemie, ceny prądu na giełdzie spadają – a to przekłada się na niższe stawki dla kierowców. Obecnie ładowanie na stacjach Tauron </w:t>
      </w:r>
      <w:r w:rsidRPr="000C26CD">
        <w:rPr>
          <w:rFonts w:eastAsia="Times New Roman" w:cs="Calibri"/>
          <w:sz w:val="22"/>
          <w:szCs w:val="22"/>
          <w:lang w:eastAsia="pl-PL"/>
        </w:rPr>
        <w:t xml:space="preserve">o mocy </w:t>
      </w:r>
      <w:r w:rsidRPr="005763B5">
        <w:rPr>
          <w:rFonts w:eastAsia="Times New Roman" w:cs="Calibri"/>
          <w:sz w:val="22"/>
          <w:szCs w:val="22"/>
          <w:lang w:eastAsia="pl-PL"/>
        </w:rPr>
        <w:t>do 150 kW kosztuje od 1,</w:t>
      </w:r>
      <w:r>
        <w:rPr>
          <w:rFonts w:eastAsia="Times New Roman" w:cs="Calibri"/>
          <w:sz w:val="22"/>
          <w:szCs w:val="22"/>
          <w:lang w:eastAsia="pl-PL"/>
        </w:rPr>
        <w:t>86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zł/kWh do 2,</w:t>
      </w:r>
      <w:r>
        <w:rPr>
          <w:rFonts w:eastAsia="Times New Roman" w:cs="Calibri"/>
          <w:sz w:val="22"/>
          <w:szCs w:val="22"/>
          <w:lang w:eastAsia="pl-PL"/>
        </w:rPr>
        <w:t>94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zł/kWh w zależności od pory dnia.</w:t>
      </w:r>
    </w:p>
    <w:p w14:paraId="0B7A3F74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6BE1001B" w14:textId="77777777" w:rsidR="00B448D2" w:rsidRPr="002F357C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2F357C">
        <w:rPr>
          <w:rFonts w:eastAsia="Times New Roman" w:cs="Calibri"/>
          <w:sz w:val="22"/>
          <w:szCs w:val="22"/>
          <w:lang w:eastAsia="pl-PL"/>
        </w:rPr>
        <w:t>„</w:t>
      </w:r>
      <w:r w:rsidRPr="002F357C">
        <w:rPr>
          <w:rFonts w:eastAsia="Times New Roman" w:cs="Calibri"/>
          <w:i/>
          <w:iCs/>
          <w:sz w:val="22"/>
          <w:szCs w:val="22"/>
          <w:lang w:eastAsia="pl-PL"/>
        </w:rPr>
        <w:t>Na rynku infrastruktury ładowania zauważalne jest rosnące znaczenie taryf dynamicznych. Ten kierunek będzie obierać coraz więcej operatorów, ponieważ nadwyżki produkcji prądu z OZE powodują w okresie wiosennym i letnim wielogodzinne spadki cen energii na giełdzie do wartości zerowych lub czasami nawet ujemnych. Takie sytuacje generują potrójne korzyści (win-win-win): 1) niską cenę ładowania dla użytkowników EV; 2) zwiększoną utylizację stacji ładowania dla operatorów; 3) wsparcie i stabilizację systemu elektroenergetycznego”</w:t>
      </w:r>
      <w:r w:rsidRPr="002F357C">
        <w:rPr>
          <w:rFonts w:eastAsia="Times New Roman" w:cs="Calibri"/>
          <w:sz w:val="22"/>
          <w:szCs w:val="22"/>
          <w:lang w:eastAsia="pl-PL"/>
        </w:rPr>
        <w:t xml:space="preserve"> – dodaje </w:t>
      </w:r>
      <w:r w:rsidRPr="002F357C">
        <w:rPr>
          <w:rFonts w:eastAsia="Times New Roman" w:cs="Calibri"/>
          <w:b/>
          <w:bCs/>
          <w:sz w:val="22"/>
          <w:szCs w:val="22"/>
          <w:lang w:eastAsia="pl-PL"/>
        </w:rPr>
        <w:t>Łukasz Lewandowski</w:t>
      </w:r>
      <w:r w:rsidRPr="002F357C">
        <w:rPr>
          <w:rFonts w:eastAsia="Times New Roman" w:cs="Calibri"/>
          <w:sz w:val="22"/>
          <w:szCs w:val="22"/>
          <w:lang w:eastAsia="pl-PL"/>
        </w:rPr>
        <w:t>.</w:t>
      </w:r>
    </w:p>
    <w:p w14:paraId="31CE0A24" w14:textId="77777777" w:rsidR="00B448D2" w:rsidRPr="00917CBA" w:rsidRDefault="00B448D2" w:rsidP="00B448D2">
      <w:pPr>
        <w:spacing w:line="276" w:lineRule="auto"/>
        <w:jc w:val="both"/>
        <w:rPr>
          <w:rFonts w:eastAsia="Times New Roman" w:cs="Calibri"/>
          <w:color w:val="EE0000"/>
          <w:sz w:val="22"/>
          <w:szCs w:val="22"/>
          <w:lang w:eastAsia="pl-PL"/>
        </w:rPr>
      </w:pPr>
    </w:p>
    <w:p w14:paraId="4867C3FF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Jeszcze korzystniejsze stawki oferuje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Ekoen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który </w:t>
      </w:r>
      <w:r w:rsidRPr="000C26CD">
        <w:rPr>
          <w:rFonts w:eastAsia="Times New Roman" w:cs="Calibri"/>
          <w:sz w:val="22"/>
          <w:szCs w:val="22"/>
          <w:lang w:eastAsia="pl-PL"/>
        </w:rPr>
        <w:t xml:space="preserve">dokonał korekty cennika i od kwietnia oferuje 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na stacjach HPC </w:t>
      </w:r>
      <w:r w:rsidRPr="000C26CD">
        <w:rPr>
          <w:rFonts w:eastAsia="Times New Roman" w:cs="Calibri"/>
          <w:sz w:val="22"/>
          <w:szCs w:val="22"/>
          <w:lang w:eastAsia="pl-PL"/>
        </w:rPr>
        <w:t>kilowatogodzinę energii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do 0,99 zł w momentach nadpodaży energii z OZE. </w:t>
      </w:r>
      <w:r>
        <w:rPr>
          <w:rFonts w:eastAsia="Times New Roman" w:cs="Calibri"/>
          <w:sz w:val="22"/>
          <w:szCs w:val="22"/>
          <w:lang w:eastAsia="pl-PL"/>
        </w:rPr>
        <w:t>Średnia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cena u tego operatora to 1,99 zł/kWh, a maksymalna 2,49 zł/kWh.</w:t>
      </w:r>
    </w:p>
    <w:p w14:paraId="4FD6DAF6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009AFA98" w14:textId="77777777" w:rsidR="00B448D2" w:rsidRPr="00C60E87" w:rsidRDefault="00B448D2" w:rsidP="00B448D2">
      <w:pPr>
        <w:spacing w:line="276" w:lineRule="auto"/>
        <w:rPr>
          <w:b/>
          <w:bCs/>
          <w:sz w:val="22"/>
          <w:szCs w:val="22"/>
        </w:rPr>
      </w:pPr>
      <w:r w:rsidRPr="00C60E87">
        <w:rPr>
          <w:sz w:val="22"/>
          <w:szCs w:val="22"/>
        </w:rPr>
        <w:t xml:space="preserve">„Zwiększający się udział OZE w branży </w:t>
      </w:r>
      <w:proofErr w:type="spellStart"/>
      <w:r w:rsidRPr="00C60E87">
        <w:rPr>
          <w:sz w:val="22"/>
          <w:szCs w:val="22"/>
        </w:rPr>
        <w:t>elektromobilności</w:t>
      </w:r>
      <w:proofErr w:type="spellEnd"/>
      <w:r w:rsidRPr="00C60E87">
        <w:rPr>
          <w:sz w:val="22"/>
          <w:szCs w:val="22"/>
        </w:rPr>
        <w:t xml:space="preserve"> to znacznie więcej możliwości dla operatorów. Wraz z rozwojem tego obszaru czeka nas rozwój taryf dynamicznych, uzależnionych od giełdowych cen energii, co umożliwi sprzedaż kilowatogodziny energii nawet za złotówkę, a w przyszłości również taniej. Porównywanie cen i znalezienie tych najbardziej atrakcyjnych ułatwiają takie narzędzia, jak nasza aplikacja, w której znaleźć można stacje ponad 600 operatorów</w:t>
      </w:r>
      <w:r>
        <w:rPr>
          <w:sz w:val="22"/>
          <w:szCs w:val="22"/>
        </w:rPr>
        <w:t xml:space="preserve"> </w:t>
      </w:r>
      <w:r w:rsidRPr="00C60E87">
        <w:rPr>
          <w:sz w:val="22"/>
          <w:szCs w:val="22"/>
        </w:rPr>
        <w:t xml:space="preserve">– komentuje </w:t>
      </w:r>
      <w:r w:rsidRPr="00C60E87">
        <w:rPr>
          <w:b/>
          <w:bCs/>
          <w:sz w:val="22"/>
          <w:szCs w:val="22"/>
        </w:rPr>
        <w:t>Adrian Nocuń</w:t>
      </w:r>
      <w:r w:rsidRPr="00C60E87">
        <w:rPr>
          <w:sz w:val="22"/>
          <w:szCs w:val="22"/>
        </w:rPr>
        <w:t xml:space="preserve">, CEO </w:t>
      </w:r>
      <w:proofErr w:type="spellStart"/>
      <w:r w:rsidRPr="00C60E87">
        <w:rPr>
          <w:sz w:val="22"/>
          <w:szCs w:val="22"/>
        </w:rPr>
        <w:t>Elocity</w:t>
      </w:r>
      <w:proofErr w:type="spellEnd"/>
      <w:r w:rsidRPr="00C60E87">
        <w:rPr>
          <w:sz w:val="22"/>
          <w:szCs w:val="22"/>
        </w:rPr>
        <w:t>.</w:t>
      </w:r>
    </w:p>
    <w:p w14:paraId="548C49EC" w14:textId="77777777" w:rsidR="00B448D2" w:rsidRPr="000C26CD" w:rsidRDefault="00B448D2" w:rsidP="00B448D2">
      <w:pPr>
        <w:spacing w:line="276" w:lineRule="auto"/>
        <w:jc w:val="both"/>
        <w:outlineLvl w:val="2"/>
        <w:rPr>
          <w:rFonts w:eastAsia="Times New Roman" w:cs="Calibri"/>
          <w:b/>
          <w:bCs/>
          <w:sz w:val="22"/>
          <w:szCs w:val="22"/>
          <w:lang w:eastAsia="pl-PL"/>
        </w:rPr>
      </w:pPr>
    </w:p>
    <w:p w14:paraId="24FCBF20" w14:textId="77777777" w:rsidR="00B448D2" w:rsidRPr="005763B5" w:rsidRDefault="00B448D2" w:rsidP="00B448D2">
      <w:pPr>
        <w:spacing w:line="276" w:lineRule="auto"/>
        <w:jc w:val="both"/>
        <w:outlineLvl w:val="2"/>
        <w:rPr>
          <w:rFonts w:eastAsia="Times New Roman" w:cs="Calibri"/>
          <w:b/>
          <w:bCs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Szybkie ładowanie DC – przepaść cenowa się utrzymuje</w:t>
      </w:r>
    </w:p>
    <w:p w14:paraId="0F3CEC25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W segmencie szybkiego ładowania DC (do 150 kW) najtańsze są taryfy dynamiczne Tauron (od 1,97 zł/kWh) oraz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Enefit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(2,25 zł/kWh).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ChargeEuropa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oferuje stałą stawkę 2,30 zł/kWh, a Budimex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Mobility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– od 2,35 zł do 2,66 zł/kWh w zależności od mocy.</w:t>
      </w:r>
    </w:p>
    <w:p w14:paraId="2F3BFFCA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2BD0B2A3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W segmencie ultraszybkiego ładowania HPC (≥150 kW) liderem taniego ładowania pozostaje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Ekoen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z ceną od 0,99 zł/kWh w momentach </w:t>
      </w:r>
      <w:r>
        <w:rPr>
          <w:rFonts w:eastAsia="Times New Roman" w:cs="Calibri"/>
          <w:sz w:val="22"/>
          <w:szCs w:val="22"/>
          <w:lang w:eastAsia="pl-PL"/>
        </w:rPr>
        <w:t>nadwyżek prądu w sieci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.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Superchargery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Tesli oferują stawki od 1,00 zł/kWh dla </w:t>
      </w:r>
      <w:r>
        <w:rPr>
          <w:rFonts w:eastAsia="Times New Roman" w:cs="Calibri"/>
          <w:sz w:val="22"/>
          <w:szCs w:val="22"/>
          <w:lang w:eastAsia="pl-PL"/>
        </w:rPr>
        <w:t xml:space="preserve">użytkowników marki i 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posiadaczy abonamentu, ze średnią około 2,30 zł/kWh dla </w:t>
      </w:r>
      <w:r w:rsidRPr="005763B5">
        <w:rPr>
          <w:rFonts w:eastAsia="Times New Roman" w:cs="Calibri"/>
          <w:sz w:val="22"/>
          <w:szCs w:val="22"/>
          <w:lang w:eastAsia="pl-PL"/>
        </w:rPr>
        <w:lastRenderedPageBreak/>
        <w:t xml:space="preserve">pozostałych </w:t>
      </w:r>
      <w:r>
        <w:rPr>
          <w:rFonts w:eastAsia="Times New Roman" w:cs="Calibri"/>
          <w:sz w:val="22"/>
          <w:szCs w:val="22"/>
          <w:lang w:eastAsia="pl-PL"/>
        </w:rPr>
        <w:t>EV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. IONITY z planem Power oferuje stawkę 1,86 zł/kWh (przy abonamencie 51,50 zł/miesiąc), a bez abonamentu – 3,10 zł/kWh. Najdroższy pozostaje Shell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Recharge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z cenami od 3,29 zł do 3,59 zł/kWh.</w:t>
      </w:r>
    </w:p>
    <w:p w14:paraId="0061F148" w14:textId="77777777" w:rsidR="00B448D2" w:rsidRPr="000C26CD" w:rsidRDefault="00B448D2" w:rsidP="00B448D2">
      <w:pPr>
        <w:spacing w:line="276" w:lineRule="auto"/>
        <w:jc w:val="both"/>
        <w:outlineLvl w:val="2"/>
        <w:rPr>
          <w:rFonts w:eastAsia="Times New Roman" w:cs="Calibri"/>
          <w:b/>
          <w:bCs/>
          <w:sz w:val="22"/>
          <w:szCs w:val="22"/>
          <w:lang w:eastAsia="pl-PL"/>
        </w:rPr>
      </w:pPr>
    </w:p>
    <w:p w14:paraId="4872175F" w14:textId="77777777" w:rsidR="00B448D2" w:rsidRPr="005763B5" w:rsidRDefault="00B448D2" w:rsidP="00B448D2">
      <w:pPr>
        <w:spacing w:line="276" w:lineRule="auto"/>
        <w:jc w:val="both"/>
        <w:outlineLvl w:val="2"/>
        <w:rPr>
          <w:rFonts w:eastAsia="Times New Roman" w:cs="Calibri"/>
          <w:b/>
          <w:bCs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Ładowanie AC</w:t>
      </w:r>
      <w:r w:rsidRPr="000C26CD">
        <w:rPr>
          <w:rFonts w:eastAsia="Times New Roman" w:cs="Calibri"/>
          <w:b/>
          <w:bCs/>
          <w:sz w:val="22"/>
          <w:szCs w:val="22"/>
          <w:lang w:eastAsia="pl-PL"/>
        </w:rPr>
        <w:t xml:space="preserve"> – mniej korzystne niż na DC</w:t>
      </w: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 xml:space="preserve"> </w:t>
      </w:r>
    </w:p>
    <w:p w14:paraId="5BF7648A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W kategorii ładowania wolnego prądem przemiennym (AC) najniższą stawkę oferuje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ChargeEuropa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– 1,75 zł/kWh. Niewiele więcej kosztuje energia w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ChargeIn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(1,79</w:t>
      </w:r>
      <w:r w:rsidRPr="000C26CD">
        <w:rPr>
          <w:rFonts w:eastAsia="Times New Roman" w:cs="Calibri"/>
          <w:sz w:val="22"/>
          <w:szCs w:val="22"/>
          <w:lang w:eastAsia="pl-PL"/>
        </w:rPr>
        <w:t>-</w:t>
      </w:r>
      <w:r w:rsidRPr="005763B5">
        <w:rPr>
          <w:rFonts w:eastAsia="Times New Roman" w:cs="Calibri"/>
          <w:sz w:val="22"/>
          <w:szCs w:val="22"/>
          <w:lang w:eastAsia="pl-PL"/>
        </w:rPr>
        <w:t>1,89 zł/kWh) i Horyzont EV (1,80 zł/kWh). Lidl utrzymuje cenę na poziomie 1,85-1,93 zł/kWh.</w:t>
      </w:r>
    </w:p>
    <w:p w14:paraId="3CD8DFDE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67112A67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Polenergia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eMobility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podniosła </w:t>
      </w:r>
      <w:r>
        <w:rPr>
          <w:rFonts w:eastAsia="Times New Roman" w:cs="Calibri"/>
          <w:sz w:val="22"/>
          <w:szCs w:val="22"/>
          <w:lang w:eastAsia="pl-PL"/>
        </w:rPr>
        <w:t xml:space="preserve">w marcu 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stawkę AC do 1,92 zł/kWh. ORLEN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Charge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i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GreenWay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Polska (w taryfie Energia STANDARD) utrzymują 1,95 zł/kWh, a Budimex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Mobility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– 1,96 zł/kWh. Najdroższe ładowanie AC oferuje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Powerdot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– od 1,99 zł do 2,48 zł/kWh.</w:t>
      </w:r>
      <w:r w:rsidRPr="000C26CD">
        <w:rPr>
          <w:rFonts w:eastAsia="Times New Roman" w:cs="Calibri"/>
          <w:sz w:val="22"/>
          <w:szCs w:val="22"/>
          <w:lang w:eastAsia="pl-PL"/>
        </w:rPr>
        <w:t xml:space="preserve"> </w:t>
      </w:r>
    </w:p>
    <w:p w14:paraId="18949AB2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i/>
          <w:iCs/>
          <w:sz w:val="22"/>
          <w:szCs w:val="22"/>
          <w:lang w:eastAsia="pl-PL"/>
        </w:rPr>
      </w:pPr>
    </w:p>
    <w:p w14:paraId="17FF5A03" w14:textId="77777777" w:rsidR="00B448D2" w:rsidRPr="008E5A94" w:rsidRDefault="00B448D2" w:rsidP="00B448D2">
      <w:pPr>
        <w:spacing w:line="276" w:lineRule="auto"/>
        <w:jc w:val="both"/>
        <w:rPr>
          <w:rFonts w:eastAsia="Times New Roman" w:cs="Calibri"/>
          <w:i/>
          <w:iCs/>
          <w:sz w:val="22"/>
          <w:szCs w:val="22"/>
          <w:lang w:eastAsia="pl-PL"/>
        </w:rPr>
      </w:pPr>
      <w:r>
        <w:rPr>
          <w:rFonts w:eastAsia="Times New Roman" w:cs="Calibri"/>
          <w:i/>
          <w:iCs/>
          <w:sz w:val="22"/>
          <w:szCs w:val="22"/>
          <w:lang w:eastAsia="pl-PL"/>
        </w:rPr>
        <w:t>„Polski rynek infrastruktury ładowania rozwija się z</w:t>
      </w:r>
      <w:r w:rsidRPr="000C26CD">
        <w:rPr>
          <w:rFonts w:eastAsia="Times New Roman" w:cs="Calibri"/>
          <w:i/>
          <w:iCs/>
          <w:sz w:val="22"/>
          <w:szCs w:val="22"/>
          <w:lang w:eastAsia="pl-PL"/>
        </w:rPr>
        <w:t>decydowanie in</w:t>
      </w:r>
      <w:r>
        <w:rPr>
          <w:rFonts w:eastAsia="Times New Roman" w:cs="Calibri"/>
          <w:i/>
          <w:iCs/>
          <w:sz w:val="22"/>
          <w:szCs w:val="22"/>
          <w:lang w:eastAsia="pl-PL"/>
        </w:rPr>
        <w:t>aczej</w:t>
      </w:r>
      <w:r w:rsidRPr="000C26CD">
        <w:rPr>
          <w:rFonts w:eastAsia="Times New Roman" w:cs="Calibri"/>
          <w:i/>
          <w:iCs/>
          <w:sz w:val="22"/>
          <w:szCs w:val="22"/>
          <w:lang w:eastAsia="pl-PL"/>
        </w:rPr>
        <w:t xml:space="preserve"> względem Europy Zachodniej. Podczas gdy Holandia czy Dania stawiają głównie na rozbudowę sieci wolnego ładowania AC, u nas z miesiąca na miesiąc zwiększa się udział ładowa</w:t>
      </w:r>
      <w:r>
        <w:rPr>
          <w:rFonts w:eastAsia="Times New Roman" w:cs="Calibri"/>
          <w:i/>
          <w:iCs/>
          <w:sz w:val="22"/>
          <w:szCs w:val="22"/>
          <w:lang w:eastAsia="pl-PL"/>
        </w:rPr>
        <w:t>rek</w:t>
      </w:r>
      <w:r w:rsidRPr="000C26CD">
        <w:rPr>
          <w:rFonts w:eastAsia="Times New Roman" w:cs="Calibri"/>
          <w:i/>
          <w:iCs/>
          <w:sz w:val="22"/>
          <w:szCs w:val="22"/>
          <w:lang w:eastAsia="pl-PL"/>
        </w:rPr>
        <w:t xml:space="preserve"> DC. To nie przypadek. Obecnie położono duży nacisk na dynamiczne zwiększenie punktów ładowania, głównie przy szlakach komunikacyjnych, gdzie naturalnym wyborem są stacje DC. Zdecydowanie gorzej jest w miastach, gdzie powinn</w:t>
      </w:r>
      <w:r>
        <w:rPr>
          <w:rFonts w:eastAsia="Times New Roman" w:cs="Calibri"/>
          <w:i/>
          <w:iCs/>
          <w:sz w:val="22"/>
          <w:szCs w:val="22"/>
          <w:lang w:eastAsia="pl-PL"/>
        </w:rPr>
        <w:t>o stawiać się na rozwój sieci</w:t>
      </w:r>
      <w:r w:rsidRPr="000C26CD">
        <w:rPr>
          <w:rFonts w:eastAsia="Times New Roman" w:cs="Calibri"/>
          <w:i/>
          <w:iCs/>
          <w:sz w:val="22"/>
          <w:szCs w:val="22"/>
          <w:lang w:eastAsia="pl-PL"/>
        </w:rPr>
        <w:t xml:space="preserve"> AC.  Problem w tym, że</w:t>
      </w:r>
      <w:r>
        <w:rPr>
          <w:rFonts w:eastAsia="Times New Roman" w:cs="Calibri"/>
          <w:i/>
          <w:iCs/>
          <w:sz w:val="22"/>
          <w:szCs w:val="22"/>
          <w:lang w:eastAsia="pl-PL"/>
        </w:rPr>
        <w:t xml:space="preserve"> utylizacja stacji AC jest o wiele bardziej wymagająca – obłożenie powinno być niemal stałe przez całą dobę – a dodatkowo </w:t>
      </w:r>
      <w:r w:rsidRPr="000C26CD">
        <w:rPr>
          <w:rFonts w:eastAsia="Times New Roman" w:cs="Calibri"/>
          <w:i/>
          <w:iCs/>
          <w:sz w:val="22"/>
          <w:szCs w:val="22"/>
          <w:lang w:eastAsia="pl-PL"/>
        </w:rPr>
        <w:t xml:space="preserve">różnice cenowe między operatorami (w segmencie AC) </w:t>
      </w:r>
      <w:r>
        <w:rPr>
          <w:rFonts w:eastAsia="Times New Roman" w:cs="Calibri"/>
          <w:i/>
          <w:iCs/>
          <w:sz w:val="22"/>
          <w:szCs w:val="22"/>
          <w:lang w:eastAsia="pl-PL"/>
        </w:rPr>
        <w:t>są znaczące – od</w:t>
      </w:r>
      <w:r w:rsidRPr="000C26CD">
        <w:rPr>
          <w:rFonts w:eastAsia="Times New Roman" w:cs="Calibri"/>
          <w:i/>
          <w:iCs/>
          <w:sz w:val="22"/>
          <w:szCs w:val="22"/>
          <w:lang w:eastAsia="pl-PL"/>
        </w:rPr>
        <w:t xml:space="preserve"> 1,75 zł do 2,48 zł za kWh przy średniej rynkowej około 1,93 zł. W efekcie wybierając dzisiaj pomiędzy wolnym ładowaniem czy szybkim nie mówimy tylko o mocy i czasie, ale też kosztach, które paradoksalnie potrafią być </w:t>
      </w:r>
      <w:r>
        <w:rPr>
          <w:rFonts w:eastAsia="Times New Roman" w:cs="Calibri"/>
          <w:i/>
          <w:iCs/>
          <w:sz w:val="22"/>
          <w:szCs w:val="22"/>
          <w:lang w:eastAsia="pl-PL"/>
        </w:rPr>
        <w:t xml:space="preserve">zbliżone lub nawet </w:t>
      </w:r>
      <w:r w:rsidRPr="000C26CD">
        <w:rPr>
          <w:rFonts w:eastAsia="Times New Roman" w:cs="Calibri"/>
          <w:i/>
          <w:iCs/>
          <w:sz w:val="22"/>
          <w:szCs w:val="22"/>
          <w:lang w:eastAsia="pl-PL"/>
        </w:rPr>
        <w:t xml:space="preserve">wyższe niż przy ładowaniu </w:t>
      </w:r>
      <w:r w:rsidRPr="008E5A94">
        <w:rPr>
          <w:rFonts w:eastAsia="Times New Roman" w:cs="Calibri"/>
          <w:i/>
          <w:iCs/>
          <w:sz w:val="22"/>
          <w:szCs w:val="22"/>
          <w:lang w:eastAsia="pl-PL"/>
        </w:rPr>
        <w:t>DC</w:t>
      </w:r>
      <w:r>
        <w:rPr>
          <w:rFonts w:eastAsia="Times New Roman" w:cs="Calibri"/>
          <w:i/>
          <w:iCs/>
          <w:sz w:val="22"/>
          <w:szCs w:val="22"/>
          <w:lang w:eastAsia="pl-PL"/>
        </w:rPr>
        <w:t>”</w:t>
      </w:r>
      <w:r w:rsidRPr="008E5A94">
        <w:rPr>
          <w:rFonts w:eastAsia="Times New Roman" w:cs="Calibri"/>
          <w:i/>
          <w:iCs/>
          <w:sz w:val="22"/>
          <w:szCs w:val="22"/>
          <w:lang w:eastAsia="pl-PL"/>
        </w:rPr>
        <w:t xml:space="preserve"> </w:t>
      </w:r>
      <w:r w:rsidRPr="008E5A94">
        <w:rPr>
          <w:rFonts w:eastAsia="Times New Roman" w:cs="Calibri"/>
          <w:sz w:val="22"/>
          <w:szCs w:val="22"/>
          <w:lang w:eastAsia="pl-PL"/>
        </w:rPr>
        <w:t xml:space="preserve">– wskazuje </w:t>
      </w:r>
      <w:r w:rsidRPr="008E5A94">
        <w:rPr>
          <w:rFonts w:eastAsia="Times New Roman" w:cs="Calibri"/>
          <w:b/>
          <w:bCs/>
          <w:sz w:val="22"/>
          <w:szCs w:val="22"/>
          <w:lang w:eastAsia="pl-PL"/>
        </w:rPr>
        <w:t>Maciej Gis</w:t>
      </w:r>
      <w:r w:rsidRPr="008E5A94">
        <w:rPr>
          <w:rFonts w:eastAsia="Times New Roman" w:cs="Calibri"/>
          <w:sz w:val="22"/>
          <w:szCs w:val="22"/>
          <w:lang w:eastAsia="pl-PL"/>
        </w:rPr>
        <w:t>, Dyrektor Komunikacji i PR PSNM oraz Redaktor Naczelny elektromobilni.pl.</w:t>
      </w:r>
    </w:p>
    <w:p w14:paraId="3A2CD32C" w14:textId="77777777" w:rsidR="00B448D2" w:rsidRDefault="00B448D2" w:rsidP="00B448D2">
      <w:pPr>
        <w:spacing w:line="276" w:lineRule="auto"/>
        <w:jc w:val="both"/>
        <w:rPr>
          <w:rFonts w:eastAsia="Times New Roman" w:cs="Calibri"/>
          <w:b/>
          <w:bCs/>
          <w:sz w:val="22"/>
          <w:szCs w:val="22"/>
          <w:lang w:eastAsia="pl-PL"/>
        </w:rPr>
      </w:pPr>
    </w:p>
    <w:p w14:paraId="64AE0DA8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0C26CD">
        <w:rPr>
          <w:rFonts w:eastAsia="Times New Roman" w:cs="Calibri"/>
          <w:b/>
          <w:bCs/>
          <w:sz w:val="22"/>
          <w:szCs w:val="22"/>
          <w:lang w:eastAsia="pl-PL"/>
        </w:rPr>
        <w:t>--</w:t>
      </w:r>
    </w:p>
    <w:p w14:paraId="044EDB99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604B2FD5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W kwietniowym rankingu uwzględniono stawki następujących operatorów: Tesla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Supercharger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ChargeEuropa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Polenergia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eMobility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ChargeIn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Horyzont EV,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Enefit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ScreenCharge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Lidl,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Eleport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Budimex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Mobility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Tauron, MOYA energia,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Powerdot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GreenWay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 Polska, Shell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Recharge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NOXO, IONITY,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Ekoen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Elomoto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 xml:space="preserve">, ORLEN </w:t>
      </w:r>
      <w:proofErr w:type="spellStart"/>
      <w:r w:rsidRPr="005763B5">
        <w:rPr>
          <w:rFonts w:eastAsia="Times New Roman" w:cs="Calibri"/>
          <w:sz w:val="22"/>
          <w:szCs w:val="22"/>
          <w:lang w:eastAsia="pl-PL"/>
        </w:rPr>
        <w:t>Charge</w:t>
      </w:r>
      <w:proofErr w:type="spellEnd"/>
      <w:r w:rsidRPr="005763B5">
        <w:rPr>
          <w:rFonts w:eastAsia="Times New Roman" w:cs="Calibri"/>
          <w:sz w:val="22"/>
          <w:szCs w:val="22"/>
          <w:lang w:eastAsia="pl-PL"/>
        </w:rPr>
        <w:t>.</w:t>
      </w:r>
    </w:p>
    <w:p w14:paraId="3F76E182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4EB61DFB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>Ranking cen ładowania, przygotowany przez Fundację EV Klub Polska oraz portal użytkowników samochodów elektrycznych elektromobilni.pl, aktualizowany jest cyklicznie co miesiąc. Ranking publikowany jest na stronach evklub.pl, elektromobilni.pl, w aplikacji EV Klub Polska oraz na profilach mediów społecznościowych.</w:t>
      </w:r>
    </w:p>
    <w:p w14:paraId="3BA8F349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5B8A0DD6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5A41AE2C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Więcej informacji: </w:t>
      </w: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www.EVklub.pl</w:t>
      </w:r>
      <w:r w:rsidRPr="005763B5">
        <w:rPr>
          <w:rFonts w:eastAsia="Times New Roman" w:cs="Calibri"/>
          <w:sz w:val="22"/>
          <w:szCs w:val="22"/>
          <w:lang w:eastAsia="pl-PL"/>
        </w:rPr>
        <w:t xml:space="preserve"> oraz </w:t>
      </w: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elektromobilni.pl</w:t>
      </w:r>
    </w:p>
    <w:p w14:paraId="24C3A940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2A7D932E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1C4B7ECC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5D4DF52D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0140B8DF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0C26CD">
        <w:rPr>
          <w:rFonts w:eastAsia="Times New Roman" w:cs="Calibri"/>
          <w:sz w:val="22"/>
          <w:szCs w:val="22"/>
          <w:lang w:eastAsia="pl-PL"/>
        </w:rPr>
        <w:lastRenderedPageBreak/>
        <w:t>--</w:t>
      </w:r>
    </w:p>
    <w:p w14:paraId="2B00F477" w14:textId="7777777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b/>
          <w:bCs/>
          <w:sz w:val="22"/>
          <w:szCs w:val="22"/>
          <w:lang w:eastAsia="pl-PL"/>
        </w:rPr>
        <w:t>Kontakt</w:t>
      </w:r>
    </w:p>
    <w:p w14:paraId="2B043DD0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Łukasz Lewandowski, Prezes Fundacji EV Klub Polska </w:t>
      </w:r>
    </w:p>
    <w:p w14:paraId="5EAF4E93" w14:textId="196AA337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>e-mail: lukasz.lewandowski@evklub.pl; tel.: (+48) 736 846</w:t>
      </w:r>
      <w:r w:rsidRPr="000C26CD">
        <w:rPr>
          <w:rFonts w:eastAsia="Times New Roman" w:cs="Calibri"/>
          <w:sz w:val="22"/>
          <w:szCs w:val="22"/>
          <w:lang w:eastAsia="pl-PL"/>
        </w:rPr>
        <w:t> </w:t>
      </w:r>
      <w:r w:rsidRPr="005763B5">
        <w:rPr>
          <w:rFonts w:eastAsia="Times New Roman" w:cs="Calibri"/>
          <w:sz w:val="22"/>
          <w:szCs w:val="22"/>
          <w:lang w:eastAsia="pl-PL"/>
        </w:rPr>
        <w:t>632</w:t>
      </w:r>
    </w:p>
    <w:p w14:paraId="06663E7A" w14:textId="77777777" w:rsidR="00B448D2" w:rsidRPr="000C26CD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</w:p>
    <w:p w14:paraId="4ECD06FF" w14:textId="77777777" w:rsidR="00B448D2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 xml:space="preserve">Maciej Gis, Dyrektor Komunikacji i PR PSNM, Redaktor Naczelny elektromobilni.pl </w:t>
      </w:r>
    </w:p>
    <w:p w14:paraId="1B777AC1" w14:textId="7B06CC00" w:rsidR="00B448D2" w:rsidRPr="005763B5" w:rsidRDefault="00B448D2" w:rsidP="00B448D2">
      <w:pPr>
        <w:spacing w:line="276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5763B5">
        <w:rPr>
          <w:rFonts w:eastAsia="Times New Roman" w:cs="Calibri"/>
          <w:sz w:val="22"/>
          <w:szCs w:val="22"/>
          <w:lang w:eastAsia="pl-PL"/>
        </w:rPr>
        <w:t>e-mail: maciej.gis@psnm.org; tel.: (+48) 606 740</w:t>
      </w:r>
      <w:r w:rsidRPr="000C26CD">
        <w:rPr>
          <w:rFonts w:eastAsia="Times New Roman" w:cs="Calibri"/>
          <w:sz w:val="22"/>
          <w:szCs w:val="22"/>
          <w:lang w:eastAsia="pl-PL"/>
        </w:rPr>
        <w:t> </w:t>
      </w:r>
      <w:r w:rsidRPr="005763B5">
        <w:rPr>
          <w:rFonts w:eastAsia="Times New Roman" w:cs="Calibri"/>
          <w:sz w:val="22"/>
          <w:szCs w:val="22"/>
          <w:lang w:eastAsia="pl-PL"/>
        </w:rPr>
        <w:t>357</w:t>
      </w:r>
    </w:p>
    <w:p w14:paraId="51AD0CF0" w14:textId="77777777" w:rsidR="00B448D2" w:rsidRPr="000C26CD" w:rsidRDefault="00B448D2" w:rsidP="00B448D2">
      <w:pPr>
        <w:spacing w:line="276" w:lineRule="auto"/>
        <w:jc w:val="both"/>
        <w:rPr>
          <w:rFonts w:cs="Calibri"/>
          <w:sz w:val="22"/>
          <w:szCs w:val="22"/>
        </w:rPr>
      </w:pPr>
    </w:p>
    <w:p w14:paraId="4B2EC422" w14:textId="77777777" w:rsidR="00044618" w:rsidRPr="00AB5765" w:rsidRDefault="00044618" w:rsidP="00B448D2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23674B68" w14:textId="2EAB41C4" w:rsidR="00E96368" w:rsidRPr="00E42652" w:rsidRDefault="00E96368" w:rsidP="00B448D2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sectPr w:rsidR="00E96368" w:rsidRPr="00E42652" w:rsidSect="00B81E6F">
      <w:headerReference w:type="default" r:id="rId7"/>
      <w:footerReference w:type="default" r:id="rId8"/>
      <w:pgSz w:w="11906" w:h="16838"/>
      <w:pgMar w:top="2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07B4" w14:textId="77777777" w:rsidR="002F7560" w:rsidRDefault="002F7560" w:rsidP="00870639">
      <w:r>
        <w:separator/>
      </w:r>
    </w:p>
  </w:endnote>
  <w:endnote w:type="continuationSeparator" w:id="0">
    <w:p w14:paraId="52A3CAE9" w14:textId="77777777" w:rsidR="002F7560" w:rsidRDefault="002F7560" w:rsidP="008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A01" w14:textId="7983D40E" w:rsidR="00870639" w:rsidRDefault="00E96368">
    <w:pPr>
      <w:pStyle w:val="Stopka"/>
    </w:pPr>
    <w:r w:rsidRPr="00E96368">
      <w:rPr>
        <w:noProof/>
      </w:rPr>
      <w:drawing>
        <wp:anchor distT="0" distB="0" distL="114300" distR="114300" simplePos="0" relativeHeight="251660288" behindDoc="0" locked="0" layoutInCell="1" allowOverlap="1" wp14:anchorId="516B1FAF" wp14:editId="2709D8F6">
          <wp:simplePos x="0" y="0"/>
          <wp:positionH relativeFrom="column">
            <wp:posOffset>-5080</wp:posOffset>
          </wp:positionH>
          <wp:positionV relativeFrom="paragraph">
            <wp:posOffset>104978</wp:posOffset>
          </wp:positionV>
          <wp:extent cx="5760720" cy="232410"/>
          <wp:effectExtent l="0" t="0" r="5080" b="0"/>
          <wp:wrapNone/>
          <wp:docPr id="254370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0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0AAC" w14:textId="77777777" w:rsidR="002F7560" w:rsidRDefault="002F7560" w:rsidP="00870639">
      <w:r>
        <w:separator/>
      </w:r>
    </w:p>
  </w:footnote>
  <w:footnote w:type="continuationSeparator" w:id="0">
    <w:p w14:paraId="0119CAD5" w14:textId="77777777" w:rsidR="002F7560" w:rsidRDefault="002F7560" w:rsidP="008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23" w14:textId="4C577AF1" w:rsidR="00870639" w:rsidRDefault="003E7657">
    <w:pPr>
      <w:pStyle w:val="Nagwek"/>
    </w:pPr>
    <w:r w:rsidRPr="00B81E6F">
      <w:rPr>
        <w:noProof/>
      </w:rPr>
      <w:drawing>
        <wp:anchor distT="0" distB="0" distL="114300" distR="114300" simplePos="0" relativeHeight="251662336" behindDoc="0" locked="0" layoutInCell="1" allowOverlap="1" wp14:anchorId="679E2209" wp14:editId="71DAA925">
          <wp:simplePos x="0" y="0"/>
          <wp:positionH relativeFrom="column">
            <wp:posOffset>3695308</wp:posOffset>
          </wp:positionH>
          <wp:positionV relativeFrom="paragraph">
            <wp:posOffset>-2107</wp:posOffset>
          </wp:positionV>
          <wp:extent cx="2055064" cy="574040"/>
          <wp:effectExtent l="0" t="0" r="2540" b="0"/>
          <wp:wrapNone/>
          <wp:docPr id="28777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77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5064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E6F">
      <w:rPr>
        <w:noProof/>
      </w:rPr>
      <w:drawing>
        <wp:anchor distT="0" distB="0" distL="114300" distR="114300" simplePos="0" relativeHeight="251661312" behindDoc="0" locked="0" layoutInCell="1" allowOverlap="1" wp14:anchorId="7E7EE6E9" wp14:editId="6D1C2A46">
          <wp:simplePos x="0" y="0"/>
          <wp:positionH relativeFrom="column">
            <wp:posOffset>-4850</wp:posOffset>
          </wp:positionH>
          <wp:positionV relativeFrom="paragraph">
            <wp:posOffset>-2108</wp:posOffset>
          </wp:positionV>
          <wp:extent cx="1964987" cy="574558"/>
          <wp:effectExtent l="0" t="0" r="3810" b="0"/>
          <wp:wrapNone/>
          <wp:docPr id="259190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901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968" cy="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F"/>
    <w:multiLevelType w:val="multilevel"/>
    <w:tmpl w:val="B33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C4696"/>
    <w:multiLevelType w:val="multilevel"/>
    <w:tmpl w:val="53C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5492A"/>
    <w:multiLevelType w:val="hybridMultilevel"/>
    <w:tmpl w:val="338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77D37"/>
    <w:multiLevelType w:val="hybridMultilevel"/>
    <w:tmpl w:val="E43E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C424E"/>
    <w:multiLevelType w:val="hybridMultilevel"/>
    <w:tmpl w:val="CC48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45F24"/>
    <w:multiLevelType w:val="multilevel"/>
    <w:tmpl w:val="6D8C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8498">
    <w:abstractNumId w:val="4"/>
  </w:num>
  <w:num w:numId="2" w16cid:durableId="1878471478">
    <w:abstractNumId w:val="3"/>
  </w:num>
  <w:num w:numId="3" w16cid:durableId="1484587054">
    <w:abstractNumId w:val="2"/>
  </w:num>
  <w:num w:numId="4" w16cid:durableId="1390883659">
    <w:abstractNumId w:val="1"/>
  </w:num>
  <w:num w:numId="5" w16cid:durableId="1050232752">
    <w:abstractNumId w:val="0"/>
  </w:num>
  <w:num w:numId="6" w16cid:durableId="762645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9"/>
    <w:rsid w:val="00013B3F"/>
    <w:rsid w:val="00015665"/>
    <w:rsid w:val="00034AB4"/>
    <w:rsid w:val="00042FEF"/>
    <w:rsid w:val="00044618"/>
    <w:rsid w:val="000A456E"/>
    <w:rsid w:val="000A4691"/>
    <w:rsid w:val="000B6A8C"/>
    <w:rsid w:val="000C35F9"/>
    <w:rsid w:val="000E2E70"/>
    <w:rsid w:val="000E443D"/>
    <w:rsid w:val="000E5AAE"/>
    <w:rsid w:val="00110126"/>
    <w:rsid w:val="0011653F"/>
    <w:rsid w:val="00153074"/>
    <w:rsid w:val="00154177"/>
    <w:rsid w:val="00167D8D"/>
    <w:rsid w:val="001774A8"/>
    <w:rsid w:val="00193C18"/>
    <w:rsid w:val="001A14AA"/>
    <w:rsid w:val="001C5FCE"/>
    <w:rsid w:val="001E12E7"/>
    <w:rsid w:val="001F07D1"/>
    <w:rsid w:val="001F3145"/>
    <w:rsid w:val="0021395D"/>
    <w:rsid w:val="00223CA1"/>
    <w:rsid w:val="00236774"/>
    <w:rsid w:val="002833E5"/>
    <w:rsid w:val="00290F6B"/>
    <w:rsid w:val="002912EC"/>
    <w:rsid w:val="002A70E7"/>
    <w:rsid w:val="002C5D96"/>
    <w:rsid w:val="002D2DA1"/>
    <w:rsid w:val="002F7560"/>
    <w:rsid w:val="003179E0"/>
    <w:rsid w:val="00323D0E"/>
    <w:rsid w:val="003266E7"/>
    <w:rsid w:val="0033309B"/>
    <w:rsid w:val="003767D8"/>
    <w:rsid w:val="00391214"/>
    <w:rsid w:val="003A2411"/>
    <w:rsid w:val="003B3493"/>
    <w:rsid w:val="003C5142"/>
    <w:rsid w:val="003D28A5"/>
    <w:rsid w:val="003E7657"/>
    <w:rsid w:val="003F0A8C"/>
    <w:rsid w:val="003F45F0"/>
    <w:rsid w:val="004258E5"/>
    <w:rsid w:val="0042763A"/>
    <w:rsid w:val="00447E9C"/>
    <w:rsid w:val="004601D2"/>
    <w:rsid w:val="00463CDC"/>
    <w:rsid w:val="00476C99"/>
    <w:rsid w:val="00476E42"/>
    <w:rsid w:val="0048211E"/>
    <w:rsid w:val="00482541"/>
    <w:rsid w:val="004B3393"/>
    <w:rsid w:val="004B43DE"/>
    <w:rsid w:val="004C634F"/>
    <w:rsid w:val="004D6730"/>
    <w:rsid w:val="004E676B"/>
    <w:rsid w:val="004F0B58"/>
    <w:rsid w:val="00503B66"/>
    <w:rsid w:val="00523D5A"/>
    <w:rsid w:val="00547E02"/>
    <w:rsid w:val="005571CD"/>
    <w:rsid w:val="00571E7A"/>
    <w:rsid w:val="0057758E"/>
    <w:rsid w:val="005A46E7"/>
    <w:rsid w:val="005A58BE"/>
    <w:rsid w:val="005B1793"/>
    <w:rsid w:val="005B7606"/>
    <w:rsid w:val="005B7B64"/>
    <w:rsid w:val="005F0BF6"/>
    <w:rsid w:val="005F6073"/>
    <w:rsid w:val="005F6433"/>
    <w:rsid w:val="00673AA2"/>
    <w:rsid w:val="006944E7"/>
    <w:rsid w:val="006948B2"/>
    <w:rsid w:val="006A0F24"/>
    <w:rsid w:val="006B5087"/>
    <w:rsid w:val="006C5940"/>
    <w:rsid w:val="006C7C1A"/>
    <w:rsid w:val="006D4F74"/>
    <w:rsid w:val="007151B4"/>
    <w:rsid w:val="00721F5A"/>
    <w:rsid w:val="00727A0C"/>
    <w:rsid w:val="0076789F"/>
    <w:rsid w:val="00781218"/>
    <w:rsid w:val="007E6F97"/>
    <w:rsid w:val="007F32EB"/>
    <w:rsid w:val="008010C2"/>
    <w:rsid w:val="00825B6E"/>
    <w:rsid w:val="00833D96"/>
    <w:rsid w:val="00837797"/>
    <w:rsid w:val="00862184"/>
    <w:rsid w:val="00870639"/>
    <w:rsid w:val="008B069A"/>
    <w:rsid w:val="008C0718"/>
    <w:rsid w:val="008C3DD8"/>
    <w:rsid w:val="008C6CEE"/>
    <w:rsid w:val="008F0C8A"/>
    <w:rsid w:val="00900F17"/>
    <w:rsid w:val="00905108"/>
    <w:rsid w:val="009226F0"/>
    <w:rsid w:val="009364B8"/>
    <w:rsid w:val="00936F78"/>
    <w:rsid w:val="00954EBC"/>
    <w:rsid w:val="00963F44"/>
    <w:rsid w:val="00967173"/>
    <w:rsid w:val="009768AC"/>
    <w:rsid w:val="00981977"/>
    <w:rsid w:val="00991123"/>
    <w:rsid w:val="009965BB"/>
    <w:rsid w:val="009A0EAC"/>
    <w:rsid w:val="009A22A7"/>
    <w:rsid w:val="009B4886"/>
    <w:rsid w:val="009C3D22"/>
    <w:rsid w:val="009C430C"/>
    <w:rsid w:val="009C4941"/>
    <w:rsid w:val="009E2C6F"/>
    <w:rsid w:val="00A31AD2"/>
    <w:rsid w:val="00A3649C"/>
    <w:rsid w:val="00A37D0F"/>
    <w:rsid w:val="00A608C3"/>
    <w:rsid w:val="00A61980"/>
    <w:rsid w:val="00A67976"/>
    <w:rsid w:val="00AA1BBC"/>
    <w:rsid w:val="00AA33D4"/>
    <w:rsid w:val="00AB1CB9"/>
    <w:rsid w:val="00AB5765"/>
    <w:rsid w:val="00B01334"/>
    <w:rsid w:val="00B12C30"/>
    <w:rsid w:val="00B1753A"/>
    <w:rsid w:val="00B25FDC"/>
    <w:rsid w:val="00B448D2"/>
    <w:rsid w:val="00B525B3"/>
    <w:rsid w:val="00B55CD0"/>
    <w:rsid w:val="00B65DC8"/>
    <w:rsid w:val="00B81E6F"/>
    <w:rsid w:val="00B84F63"/>
    <w:rsid w:val="00BD0934"/>
    <w:rsid w:val="00BD3531"/>
    <w:rsid w:val="00BD7C25"/>
    <w:rsid w:val="00BE1469"/>
    <w:rsid w:val="00BE2BE7"/>
    <w:rsid w:val="00BF29F9"/>
    <w:rsid w:val="00BF3AD4"/>
    <w:rsid w:val="00C22690"/>
    <w:rsid w:val="00C4615E"/>
    <w:rsid w:val="00C65865"/>
    <w:rsid w:val="00C925E8"/>
    <w:rsid w:val="00CA6732"/>
    <w:rsid w:val="00CC056E"/>
    <w:rsid w:val="00CC7958"/>
    <w:rsid w:val="00CD2E0E"/>
    <w:rsid w:val="00CE0B01"/>
    <w:rsid w:val="00CE1905"/>
    <w:rsid w:val="00CE51BD"/>
    <w:rsid w:val="00D06797"/>
    <w:rsid w:val="00D15772"/>
    <w:rsid w:val="00D407B7"/>
    <w:rsid w:val="00D46753"/>
    <w:rsid w:val="00D52D5B"/>
    <w:rsid w:val="00D706AC"/>
    <w:rsid w:val="00D73654"/>
    <w:rsid w:val="00D86BBE"/>
    <w:rsid w:val="00DA42CF"/>
    <w:rsid w:val="00DA5915"/>
    <w:rsid w:val="00DC31AB"/>
    <w:rsid w:val="00DC5F8A"/>
    <w:rsid w:val="00DE3698"/>
    <w:rsid w:val="00DE69A3"/>
    <w:rsid w:val="00E01771"/>
    <w:rsid w:val="00E24AC1"/>
    <w:rsid w:val="00E42652"/>
    <w:rsid w:val="00E84B81"/>
    <w:rsid w:val="00E91099"/>
    <w:rsid w:val="00E96368"/>
    <w:rsid w:val="00EB56F9"/>
    <w:rsid w:val="00EC7C86"/>
    <w:rsid w:val="00ED23AF"/>
    <w:rsid w:val="00ED3852"/>
    <w:rsid w:val="00EE1EA0"/>
    <w:rsid w:val="00EE50A4"/>
    <w:rsid w:val="00EF3CE1"/>
    <w:rsid w:val="00F23BAD"/>
    <w:rsid w:val="00F35668"/>
    <w:rsid w:val="00F40A8D"/>
    <w:rsid w:val="00F532FE"/>
    <w:rsid w:val="00F56C54"/>
    <w:rsid w:val="00F71CD5"/>
    <w:rsid w:val="00F7548E"/>
    <w:rsid w:val="00F93FA5"/>
    <w:rsid w:val="00FA7F81"/>
    <w:rsid w:val="00FB5F32"/>
    <w:rsid w:val="00FD0342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E2B98"/>
  <w15:chartTrackingRefBased/>
  <w15:docId w15:val="{27C55549-CEB0-A149-9684-14ACC83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639"/>
  </w:style>
  <w:style w:type="paragraph" w:styleId="Stopka">
    <w:name w:val="footer"/>
    <w:basedOn w:val="Normalny"/>
    <w:link w:val="Stopka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639"/>
  </w:style>
  <w:style w:type="character" w:styleId="Hipercze">
    <w:name w:val="Hyperlink"/>
    <w:basedOn w:val="Domylnaczcionkaakapitu"/>
    <w:uiPriority w:val="99"/>
    <w:unhideWhenUsed/>
    <w:rsid w:val="006B5087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6B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B5087"/>
  </w:style>
  <w:style w:type="paragraph" w:styleId="NormalnyWeb">
    <w:name w:val="Normal (Web)"/>
    <w:basedOn w:val="Normalny"/>
    <w:uiPriority w:val="99"/>
    <w:unhideWhenUsed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0C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3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A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73AA2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A0EAC"/>
    <w:rPr>
      <w:b/>
      <w:bCs/>
    </w:rPr>
  </w:style>
  <w:style w:type="paragraph" w:customStyle="1" w:styleId="whitespace-normal">
    <w:name w:val="whitespace-normal"/>
    <w:basedOn w:val="Normalny"/>
    <w:rsid w:val="009A0E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4C6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E43891-05B8-E440-88C9-33329692DE92}">
  <we:reference id="wa104381727" version="1.0.1.0" store="pl-PL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7290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2</cp:revision>
  <dcterms:created xsi:type="dcterms:W3CDTF">2026-04-17T05:59:00Z</dcterms:created>
  <dcterms:modified xsi:type="dcterms:W3CDTF">2026-04-17T05:59:00Z</dcterms:modified>
</cp:coreProperties>
</file>