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7B1" w:rsidP="006574E1" w:rsidRDefault="005814F9" w14:paraId="14A12A1E" w14:textId="68255D7D">
      <w:pPr>
        <w:jc w:val="both"/>
        <w:rPr>
          <w:b/>
          <w:bCs/>
          <w:sz w:val="28"/>
          <w:szCs w:val="28"/>
        </w:rPr>
      </w:pPr>
      <w:r w:rsidRPr="005814F9">
        <w:rPr>
          <w:b/>
          <w:bCs/>
          <w:sz w:val="28"/>
          <w:szCs w:val="28"/>
        </w:rPr>
        <w:t xml:space="preserve">Jak vypadal lázeňský den </w:t>
      </w:r>
      <w:r w:rsidRPr="005814F9" w:rsidR="00D900F3">
        <w:rPr>
          <w:b/>
          <w:bCs/>
          <w:sz w:val="28"/>
          <w:szCs w:val="28"/>
        </w:rPr>
        <w:t>v Karlových Varech</w:t>
      </w:r>
      <w:r w:rsidRPr="005814F9" w:rsidR="00D900F3">
        <w:rPr>
          <w:b/>
          <w:bCs/>
          <w:sz w:val="28"/>
          <w:szCs w:val="28"/>
        </w:rPr>
        <w:t xml:space="preserve"> </w:t>
      </w:r>
      <w:r w:rsidRPr="005814F9">
        <w:rPr>
          <w:b/>
          <w:bCs/>
          <w:sz w:val="28"/>
          <w:szCs w:val="28"/>
        </w:rPr>
        <w:t xml:space="preserve">před sto lety </w:t>
      </w:r>
    </w:p>
    <w:p w:rsidR="006574E1" w:rsidP="006574E1" w:rsidRDefault="006574E1" w14:paraId="2B9410A7" w14:textId="170FDC6A">
      <w:pPr>
        <w:jc w:val="both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6CF99B6F" w:rsidR="34FBBB48">
        <w:rPr>
          <w:rFonts w:ascii="Calibri" w:hAnsi="Calibri" w:eastAsia="Calibri" w:cs="Calibri"/>
          <w:b w:val="1"/>
          <w:bCs w:val="1"/>
          <w:sz w:val="22"/>
          <w:szCs w:val="22"/>
        </w:rPr>
        <w:t>Vstávat</w:t>
      </w:r>
      <w:r w:rsidRPr="6CF99B6F" w:rsidR="34FBBB48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ještě před svítáním, vypít několik koflíků minerálky nalačno, dodržovat přísnou dietu a odpoledne vyrazit na koncert nebo do divadla. Lázeňský pobyt v Karlových Varech na přelomu 19. a 20. století měl svá pevná pravidla, ale rozhodně nebyl nudný. Dobové průvodce zpřístupněné díky spolupráci Mattoni 1873 a Národní knihovny České republiky </w:t>
      </w:r>
      <w:r w:rsidRPr="6CF99B6F" w:rsidR="34FBBB48">
        <w:rPr>
          <w:rFonts w:ascii="Calibri" w:hAnsi="Calibri" w:eastAsia="Calibri" w:cs="Calibri"/>
          <w:b w:val="1"/>
          <w:bCs w:val="1"/>
          <w:sz w:val="22"/>
          <w:szCs w:val="22"/>
        </w:rPr>
        <w:t>přibližují</w:t>
      </w:r>
      <w:r w:rsidRPr="6CF99B6F" w:rsidR="34FBBB48">
        <w:rPr>
          <w:rFonts w:ascii="Calibri" w:hAnsi="Calibri" w:eastAsia="Calibri" w:cs="Calibri"/>
          <w:b w:val="1"/>
          <w:bCs w:val="1"/>
          <w:sz w:val="22"/>
          <w:szCs w:val="22"/>
        </w:rPr>
        <w:t>, jak vypadal každodenní život v Karlových Varech před více než sto lety. Vybrali jsme několik zajímavostí, které ukazují, že některé lázeňské tradice přetrvaly dodnes, zatímco jiné by dnešní návštěvníky nejspíš pořádně překvapily.</w:t>
      </w:r>
    </w:p>
    <w:p w:rsidR="006574E1" w:rsidP="00576540" w:rsidRDefault="006574E1" w14:paraId="6A4FABA2" w14:textId="7214901D">
      <w:pPr>
        <w:jc w:val="both"/>
        <w:rPr>
          <w:rFonts w:ascii="Calibri" w:hAnsi="Calibri" w:eastAsia="Calibri" w:cs="Calibri"/>
          <w:i/>
          <w:iCs/>
          <w:color w:val="1A1A1A"/>
          <w:sz w:val="22"/>
          <w:szCs w:val="22"/>
        </w:rPr>
      </w:pPr>
      <w:r w:rsidRPr="20F7E178">
        <w:rPr>
          <w:rFonts w:ascii="Calibri" w:hAnsi="Calibri" w:eastAsia="Calibri" w:cs="Calibri"/>
          <w:i/>
          <w:iCs/>
          <w:color w:val="1A1A1A"/>
          <w:sz w:val="22"/>
          <w:szCs w:val="22"/>
        </w:rPr>
        <w:t xml:space="preserve">Vycházíme ze dvou publikací z fondu Národní knihovny ČR: Adolf Čtvrtečka, Průvodce po Karlových Varech a okolí Karlovarském (1878), věcný a didaktický průvodce psaný k poučení lázeňských hostí, a Eugen Miroslav Rutte, Průvodce po Karlových Varech a okolí (1900), psaný </w:t>
      </w:r>
      <w:r w:rsidR="00F60613">
        <w:rPr>
          <w:rFonts w:ascii="Calibri" w:hAnsi="Calibri" w:eastAsia="Calibri" w:cs="Calibri"/>
          <w:i/>
          <w:iCs/>
          <w:color w:val="1A1A1A"/>
          <w:sz w:val="22"/>
          <w:szCs w:val="22"/>
        </w:rPr>
        <w:t>odlehč</w:t>
      </w:r>
      <w:r w:rsidR="001E3563">
        <w:rPr>
          <w:rFonts w:ascii="Calibri" w:hAnsi="Calibri" w:eastAsia="Calibri" w:cs="Calibri"/>
          <w:i/>
          <w:iCs/>
          <w:color w:val="1A1A1A"/>
          <w:sz w:val="22"/>
          <w:szCs w:val="22"/>
        </w:rPr>
        <w:t>enějším</w:t>
      </w:r>
      <w:r w:rsidR="00E53B17">
        <w:rPr>
          <w:rFonts w:ascii="Calibri" w:hAnsi="Calibri" w:eastAsia="Calibri" w:cs="Calibri"/>
          <w:i/>
          <w:iCs/>
          <w:color w:val="1A1A1A"/>
          <w:sz w:val="22"/>
          <w:szCs w:val="22"/>
        </w:rPr>
        <w:t xml:space="preserve"> </w:t>
      </w:r>
      <w:r w:rsidRPr="1C047ADD">
        <w:rPr>
          <w:rFonts w:ascii="Calibri" w:hAnsi="Calibri" w:eastAsia="Calibri" w:cs="Calibri"/>
          <w:i/>
          <w:iCs/>
          <w:color w:val="1A1A1A"/>
          <w:sz w:val="22"/>
          <w:szCs w:val="22"/>
        </w:rPr>
        <w:t>tónem.</w:t>
      </w:r>
      <w:r w:rsidRPr="20F7E178">
        <w:rPr>
          <w:rFonts w:ascii="Calibri" w:hAnsi="Calibri" w:eastAsia="Calibri" w:cs="Calibri"/>
          <w:i/>
          <w:iCs/>
          <w:color w:val="1A1A1A"/>
          <w:sz w:val="22"/>
          <w:szCs w:val="22"/>
        </w:rPr>
        <w:t xml:space="preserve"> </w:t>
      </w:r>
      <w:r w:rsidRPr="06E2E2CC">
        <w:rPr>
          <w:rFonts w:ascii="Calibri" w:hAnsi="Calibri" w:eastAsia="Calibri" w:cs="Calibri"/>
          <w:i/>
          <w:iCs/>
          <w:color w:val="1A1A1A"/>
          <w:sz w:val="22"/>
          <w:szCs w:val="22"/>
        </w:rPr>
        <w:t xml:space="preserve">Obě publikace jsou součástí fondu Národní knihovny ČR a jsou volně </w:t>
      </w:r>
      <w:r w:rsidRPr="30FBF1B8">
        <w:rPr>
          <w:rFonts w:ascii="Calibri" w:hAnsi="Calibri" w:eastAsia="Calibri" w:cs="Calibri"/>
          <w:i/>
          <w:iCs/>
          <w:color w:val="1A1A1A"/>
          <w:sz w:val="22"/>
          <w:szCs w:val="22"/>
        </w:rPr>
        <w:t>dostupné v</w:t>
      </w:r>
      <w:r w:rsidRPr="06E2E2CC">
        <w:rPr>
          <w:rFonts w:ascii="Calibri" w:hAnsi="Calibri" w:eastAsia="Calibri" w:cs="Calibri"/>
          <w:i/>
          <w:iCs/>
          <w:color w:val="1A1A1A"/>
          <w:sz w:val="22"/>
          <w:szCs w:val="22"/>
        </w:rPr>
        <w:t xml:space="preserve"> digitální knihovně Kramerius</w:t>
      </w:r>
      <w:r>
        <w:rPr>
          <w:rFonts w:ascii="Calibri" w:hAnsi="Calibri" w:eastAsia="Calibri" w:cs="Calibri"/>
          <w:i/>
          <w:iCs/>
          <w:color w:val="1A1A1A"/>
          <w:sz w:val="22"/>
          <w:szCs w:val="22"/>
        </w:rPr>
        <w:t>.</w:t>
      </w:r>
    </w:p>
    <w:p w:rsidR="00835F20" w:rsidP="00835F20" w:rsidRDefault="00835F20" w14:paraId="35AB70C1" w14:textId="77777777">
      <w:pPr>
        <w:jc w:val="both"/>
      </w:pPr>
      <w:r w:rsidRPr="6CF99B6F" w:rsidR="677D5EF6">
        <w:rPr>
          <w:rFonts w:ascii="Calibri" w:hAnsi="Calibri" w:eastAsia="Calibri" w:cs="Calibri"/>
          <w:b w:val="1"/>
          <w:bCs w:val="1"/>
          <w:color w:val="1A1A1A"/>
          <w:sz w:val="22"/>
          <w:szCs w:val="22"/>
        </w:rPr>
        <w:t>Koflík jako neodmyslitelný lázeňský doplněk</w:t>
      </w:r>
    </w:p>
    <w:p w:rsidR="00835F20" w:rsidP="6CF99B6F" w:rsidRDefault="00835F20" w14:paraId="0D115F41" w14:textId="189C124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Pr="6CF99B6F" w:rsidR="5968FB86">
        <w:rPr>
          <w:rFonts w:ascii="Calibri" w:hAnsi="Calibri" w:eastAsia="Calibri" w:cs="Calibri"/>
          <w:color w:val="1A1A1A"/>
          <w:sz w:val="22"/>
          <w:szCs w:val="22"/>
        </w:rPr>
        <w:t xml:space="preserve">Lázeňský pohárek </w:t>
      </w:r>
      <w:r w:rsidRPr="6CF99B6F" w:rsidR="677D5EF6">
        <w:rPr>
          <w:rFonts w:ascii="Calibri" w:hAnsi="Calibri" w:eastAsia="Calibri" w:cs="Calibri"/>
          <w:color w:val="1A1A1A"/>
          <w:sz w:val="22"/>
          <w:szCs w:val="22"/>
        </w:rPr>
        <w:t>na pití vřídelní vody, zvan</w:t>
      </w:r>
      <w:r w:rsidRPr="6CF99B6F" w:rsidR="680D69D3">
        <w:rPr>
          <w:rFonts w:ascii="Calibri" w:hAnsi="Calibri" w:eastAsia="Calibri" w:cs="Calibri"/>
          <w:color w:val="1A1A1A"/>
          <w:sz w:val="22"/>
          <w:szCs w:val="22"/>
        </w:rPr>
        <w:t>ý</w:t>
      </w:r>
      <w:r w:rsidRPr="6CF99B6F" w:rsidR="677D5EF6">
        <w:rPr>
          <w:rFonts w:ascii="Calibri" w:hAnsi="Calibri" w:eastAsia="Calibri" w:cs="Calibri"/>
          <w:color w:val="1A1A1A"/>
          <w:sz w:val="22"/>
          <w:szCs w:val="22"/>
        </w:rPr>
        <w:t xml:space="preserve"> koflík, byl „internacionálním karlovarským odznakem.“ </w:t>
      </w:r>
      <w:r w:rsidRPr="6CF99B6F" w:rsidR="677D5EF6">
        <w:rPr>
          <w:rFonts w:ascii="Calibri" w:hAnsi="Calibri" w:eastAsia="Calibri" w:cs="Calibri"/>
          <w:sz w:val="22"/>
          <w:szCs w:val="22"/>
        </w:rPr>
        <w:t>Host j</w:t>
      </w:r>
      <w:r w:rsidRPr="6CF99B6F" w:rsidR="7311FEB3">
        <w:rPr>
          <w:rFonts w:ascii="Calibri" w:hAnsi="Calibri" w:eastAsia="Calibri" w:cs="Calibri"/>
          <w:sz w:val="22"/>
          <w:szCs w:val="22"/>
        </w:rPr>
        <w:t>ej</w:t>
      </w:r>
      <w:r w:rsidRPr="6CF99B6F" w:rsidR="677D5EF6">
        <w:rPr>
          <w:rFonts w:ascii="Calibri" w:hAnsi="Calibri" w:eastAsia="Calibri" w:cs="Calibri"/>
          <w:sz w:val="22"/>
          <w:szCs w:val="22"/>
        </w:rPr>
        <w:t xml:space="preserve"> měl zavěšen</w:t>
      </w:r>
      <w:r w:rsidRPr="6CF99B6F" w:rsidR="64AD6F83">
        <w:rPr>
          <w:rFonts w:ascii="Calibri" w:hAnsi="Calibri" w:eastAsia="Calibri" w:cs="Calibri"/>
          <w:sz w:val="22"/>
          <w:szCs w:val="22"/>
        </w:rPr>
        <w:t>ý</w:t>
      </w:r>
      <w:r w:rsidRPr="6CF99B6F" w:rsidR="677D5EF6">
        <w:rPr>
          <w:rFonts w:ascii="Calibri" w:hAnsi="Calibri" w:eastAsia="Calibri" w:cs="Calibri"/>
          <w:sz w:val="22"/>
          <w:szCs w:val="22"/>
        </w:rPr>
        <w:t xml:space="preserve"> na řemínku přes rameno a nosil </w:t>
      </w:r>
      <w:r w:rsidRPr="6CF99B6F" w:rsidR="7913162A">
        <w:rPr>
          <w:rFonts w:ascii="Calibri" w:hAnsi="Calibri" w:eastAsia="Calibri" w:cs="Calibri"/>
          <w:sz w:val="22"/>
          <w:szCs w:val="22"/>
        </w:rPr>
        <w:t>ho</w:t>
      </w:r>
      <w:r w:rsidRPr="6CF99B6F" w:rsidR="677D5EF6">
        <w:rPr>
          <w:rFonts w:ascii="Calibri" w:hAnsi="Calibri" w:eastAsia="Calibri" w:cs="Calibri"/>
          <w:sz w:val="22"/>
          <w:szCs w:val="22"/>
        </w:rPr>
        <w:t xml:space="preserve"> s sebou všude</w:t>
      </w:r>
      <w:r w:rsidRPr="6CF99B6F" w:rsidR="677D5EF6">
        <w:rPr>
          <w:rFonts w:ascii="Calibri" w:hAnsi="Calibri" w:eastAsia="Calibri" w:cs="Calibri"/>
          <w:color w:val="1A1A1A"/>
          <w:sz w:val="22"/>
          <w:szCs w:val="22"/>
        </w:rPr>
        <w:t>, i na výlety do okolních lesů, kde po n</w:t>
      </w:r>
      <w:r w:rsidRPr="6CF99B6F" w:rsidR="573EED32">
        <w:rPr>
          <w:rFonts w:ascii="Calibri" w:hAnsi="Calibri" w:eastAsia="Calibri" w:cs="Calibri"/>
          <w:color w:val="1A1A1A"/>
          <w:sz w:val="22"/>
          <w:szCs w:val="22"/>
        </w:rPr>
        <w:t>ěm</w:t>
      </w:r>
      <w:r w:rsidRPr="6CF99B6F" w:rsidR="677D5EF6">
        <w:rPr>
          <w:rFonts w:ascii="Calibri" w:hAnsi="Calibri" w:eastAsia="Calibri" w:cs="Calibri"/>
          <w:color w:val="1A1A1A"/>
          <w:sz w:val="22"/>
          <w:szCs w:val="22"/>
        </w:rPr>
        <w:t xml:space="preserve"> sahal „jako po dalekohledu“. Bohatší hosté měli koflíky stříbrné nebo zlaté, většina se ale spokojila s porcelánem s nápisem „Karlovy Vary“.</w:t>
      </w:r>
    </w:p>
    <w:p w:rsidR="00835F20" w:rsidP="00835F20" w:rsidRDefault="00835F20" w14:paraId="6E7FEA7F" w14:textId="77777777">
      <w:pPr>
        <w:spacing w:before="60" w:after="200"/>
        <w:jc w:val="both"/>
      </w:pPr>
      <w:r w:rsidRPr="3CFFA863">
        <w:rPr>
          <w:rFonts w:ascii="Calibri" w:hAnsi="Calibri" w:eastAsia="Calibri" w:cs="Calibri"/>
          <w:i/>
          <w:iCs/>
          <w:color w:val="595959" w:themeColor="text1" w:themeTint="A6"/>
          <w:sz w:val="19"/>
          <w:szCs w:val="19"/>
        </w:rPr>
        <w:t>Zdroj: E. M. Rutte, Průvodce po Karlových Varech a okolí (1900), str. 24–25</w:t>
      </w:r>
    </w:p>
    <w:p w:rsidR="006574E1" w:rsidP="006574E1" w:rsidRDefault="006574E1" w14:paraId="0D78654F" w14:textId="77777777">
      <w:pPr>
        <w:spacing w:before="240" w:after="240"/>
      </w:pPr>
      <w:r w:rsidRPr="271CCE52">
        <w:rPr>
          <w:rFonts w:ascii="Calibri" w:hAnsi="Calibri" w:eastAsia="Calibri" w:cs="Calibri"/>
          <w:b/>
          <w:bCs/>
          <w:color w:val="1A1A1A"/>
          <w:sz w:val="22"/>
          <w:szCs w:val="22"/>
        </w:rPr>
        <w:t>Před</w:t>
      </w:r>
      <w:r w:rsidRPr="3CFFA863">
        <w:rPr>
          <w:rFonts w:ascii="Calibri" w:hAnsi="Calibri" w:eastAsia="Calibri" w:cs="Calibri"/>
          <w:b/>
          <w:bCs/>
          <w:color w:val="1A1A1A"/>
          <w:sz w:val="22"/>
          <w:szCs w:val="22"/>
        </w:rPr>
        <w:t xml:space="preserve"> pramenem jsou si všichni rovni</w:t>
      </w:r>
    </w:p>
    <w:p w:rsidR="006574E1" w:rsidP="006574E1" w:rsidRDefault="006574E1" w14:paraId="5ED33A0D" w14:textId="47440E0E">
      <w:pPr>
        <w:jc w:val="both"/>
        <w:rPr>
          <w:rFonts w:ascii="Calibri" w:hAnsi="Calibri" w:eastAsia="Calibri" w:cs="Calibri"/>
          <w:color w:val="1A1A1A"/>
          <w:sz w:val="22"/>
          <w:szCs w:val="22"/>
        </w:rPr>
      </w:pPr>
      <w:r w:rsidRPr="3CFFA863">
        <w:rPr>
          <w:rFonts w:ascii="Calibri" w:hAnsi="Calibri" w:eastAsia="Calibri" w:cs="Calibri"/>
          <w:color w:val="1A1A1A"/>
          <w:sz w:val="22"/>
          <w:szCs w:val="22"/>
        </w:rPr>
        <w:t>Lázeňský den začínal brzy. První hosté se u vřídel scházeli už ve čtyři až pět hodin ráno a pili předepsanou vodu na hladový žaludek, postupně tři až dvanáct „koflíků“ denně, podle předpisu lékaře, v přestávkách a</w:t>
      </w:r>
      <w:r w:rsidR="00D05C6D">
        <w:rPr>
          <w:rFonts w:ascii="Calibri" w:hAnsi="Calibri" w:eastAsia="Calibri" w:cs="Calibri"/>
          <w:color w:val="1A1A1A"/>
          <w:sz w:val="22"/>
          <w:szCs w:val="22"/>
        </w:rPr>
        <w:t>le</w:t>
      </w:r>
      <w:r w:rsidRPr="3CFFA863">
        <w:rPr>
          <w:rFonts w:ascii="Calibri" w:hAnsi="Calibri" w:eastAsia="Calibri" w:cs="Calibri"/>
          <w:color w:val="1A1A1A"/>
          <w:sz w:val="22"/>
          <w:szCs w:val="22"/>
        </w:rPr>
        <w:t>spoň čtvrt hodiny mezi jednotlivými dávkami. Mezi koflíky se nesmělo nic jíst</w:t>
      </w:r>
      <w:r w:rsidR="00E1143E">
        <w:rPr>
          <w:rFonts w:ascii="Calibri" w:hAnsi="Calibri" w:eastAsia="Calibri" w:cs="Calibri"/>
          <w:color w:val="1A1A1A"/>
          <w:sz w:val="22"/>
          <w:szCs w:val="22"/>
        </w:rPr>
        <w:t xml:space="preserve"> a</w:t>
      </w:r>
      <w:r w:rsidRPr="3CFFA863">
        <w:rPr>
          <w:rFonts w:ascii="Calibri" w:hAnsi="Calibri" w:eastAsia="Calibri" w:cs="Calibri"/>
          <w:color w:val="1A1A1A"/>
          <w:sz w:val="22"/>
          <w:szCs w:val="22"/>
        </w:rPr>
        <w:t xml:space="preserve"> povolena byla jen krátká procházka kolonádou.</w:t>
      </w:r>
    </w:p>
    <w:p w:rsidR="006574E1" w:rsidP="006574E1" w:rsidRDefault="006574E1" w14:paraId="6866E0F5" w14:textId="77777777">
      <w:pPr>
        <w:jc w:val="both"/>
      </w:pPr>
      <w:r w:rsidRPr="3CFFA863">
        <w:rPr>
          <w:rFonts w:ascii="Calibri" w:hAnsi="Calibri" w:eastAsia="Calibri" w:cs="Calibri"/>
          <w:color w:val="1A1A1A"/>
          <w:sz w:val="22"/>
          <w:szCs w:val="22"/>
        </w:rPr>
        <w:t>Koupele se braly dopoledne, dvě hodiny po snídani, a nikdy se žaludkem plným. Voda měla mít teplotu 24 až 28 stupňů a v lázni se nesmělo zůstat déle než půl hodiny. Hlava se přitom nikdy nesměla ponořit. Po koupeli následovalo půl hodiny klidu na lůžku, usnout se ale nesmělo.</w:t>
      </w:r>
    </w:p>
    <w:p w:rsidR="006574E1" w:rsidP="006574E1" w:rsidRDefault="006574E1" w14:paraId="4DD107D8" w14:textId="77777777">
      <w:pPr>
        <w:jc w:val="both"/>
      </w:pPr>
      <w:r w:rsidRPr="3CFFA863">
        <w:rPr>
          <w:rFonts w:ascii="Calibri" w:hAnsi="Calibri" w:eastAsia="Calibri" w:cs="Calibri"/>
          <w:color w:val="1A1A1A"/>
          <w:sz w:val="22"/>
          <w:szCs w:val="22"/>
        </w:rPr>
        <w:t>U vřídla mizely společenské rozdíly. Šlechtic i poštovní úředník stáli v jedné řadě, protože „před Bohem a před vřídlem jsou si všichni rovni“. Jediné, co lidi v Karlových Varech tehdy skutečně odlišovalo, byla nemoc, se kterou přijeli.</w:t>
      </w:r>
    </w:p>
    <w:p w:rsidR="006574E1" w:rsidP="006574E1" w:rsidRDefault="006574E1" w14:paraId="6726D86F" w14:textId="77777777">
      <w:pPr>
        <w:spacing w:before="60" w:after="200"/>
        <w:jc w:val="both"/>
      </w:pPr>
      <w:r w:rsidRPr="3CFFA863">
        <w:rPr>
          <w:rFonts w:ascii="Calibri" w:hAnsi="Calibri" w:eastAsia="Calibri" w:cs="Calibri"/>
          <w:i/>
          <w:iCs/>
          <w:color w:val="595959" w:themeColor="text1" w:themeTint="A6"/>
          <w:sz w:val="19"/>
          <w:szCs w:val="19"/>
        </w:rPr>
        <w:t>Zdroj: E. M. Rutte, Průvodce po Karlových Varech a okolí (1900), str. 21–23 · A. Čtvrtečka, Průvodce po Karlových Varech a okolí Karlovarském (1878), str. 21, 23</w:t>
      </w:r>
    </w:p>
    <w:p w:rsidR="006574E1" w:rsidP="006574E1" w:rsidRDefault="006574E1" w14:paraId="361BC940" w14:textId="77777777">
      <w:pPr>
        <w:jc w:val="both"/>
      </w:pPr>
      <w:r w:rsidRPr="3CFFA863">
        <w:rPr>
          <w:rFonts w:ascii="Calibri" w:hAnsi="Calibri" w:eastAsia="Calibri" w:cs="Calibri"/>
          <w:b/>
          <w:bCs/>
          <w:color w:val="1A1A1A"/>
          <w:sz w:val="22"/>
          <w:szCs w:val="22"/>
        </w:rPr>
        <w:t>Jídelníček předepisoval lékař, ne kuchař</w:t>
      </w:r>
    </w:p>
    <w:p w:rsidR="006574E1" w:rsidP="006574E1" w:rsidRDefault="006574E1" w14:paraId="63047CD5" w14:textId="04E735A2">
      <w:pPr>
        <w:jc w:val="both"/>
      </w:pPr>
      <w:r w:rsidRPr="3CFFA863">
        <w:rPr>
          <w:rFonts w:ascii="Calibri" w:hAnsi="Calibri" w:eastAsia="Calibri" w:cs="Calibri"/>
          <w:color w:val="1A1A1A"/>
          <w:sz w:val="22"/>
          <w:szCs w:val="22"/>
        </w:rPr>
        <w:t>V Karlových Varech neexistovalo společné „table d’hôte“ jako v jiných lázních. Co si host směl objednat, určoval lékař podle diagnózy, ne kuchař podle chuti. Na černé listině byly tučné, slané a uzené pokrmy, luštěniny, čerstvé ovoce, ocet a olej na salát i kořeněná jídla. Povoleny byly libové maso, pstruh, špenát, brambory a k snídani jeden až dva šálky kávy s mlékem.</w:t>
      </w:r>
      <w:r w:rsidR="00AE1E29">
        <w:rPr>
          <w:rFonts w:ascii="Calibri" w:hAnsi="Calibri" w:eastAsia="Calibri" w:cs="Calibri"/>
          <w:color w:val="1A1A1A"/>
          <w:sz w:val="22"/>
          <w:szCs w:val="22"/>
        </w:rPr>
        <w:t xml:space="preserve"> </w:t>
      </w:r>
      <w:r w:rsidR="00F25353">
        <w:rPr>
          <w:rFonts w:ascii="Calibri" w:hAnsi="Calibri" w:eastAsia="Calibri" w:cs="Calibri"/>
          <w:color w:val="1A1A1A"/>
          <w:sz w:val="22"/>
          <w:szCs w:val="22"/>
        </w:rPr>
        <w:t>S</w:t>
      </w:r>
      <w:r w:rsidRPr="00AE1E29" w:rsidR="00AE1E29">
        <w:rPr>
          <w:rFonts w:ascii="Calibri" w:hAnsi="Calibri" w:eastAsia="Calibri" w:cs="Calibri"/>
          <w:color w:val="1A1A1A"/>
          <w:sz w:val="22"/>
          <w:szCs w:val="22"/>
        </w:rPr>
        <w:t xml:space="preserve">potřeba jídla v lázních </w:t>
      </w:r>
      <w:r w:rsidR="0035302D">
        <w:rPr>
          <w:rFonts w:ascii="Calibri" w:hAnsi="Calibri" w:eastAsia="Calibri" w:cs="Calibri"/>
          <w:color w:val="1A1A1A"/>
          <w:sz w:val="22"/>
          <w:szCs w:val="22"/>
        </w:rPr>
        <w:t>byla</w:t>
      </w:r>
      <w:r w:rsidR="008D0A96">
        <w:rPr>
          <w:rFonts w:ascii="Calibri" w:hAnsi="Calibri" w:eastAsia="Calibri" w:cs="Calibri"/>
          <w:color w:val="1A1A1A"/>
          <w:sz w:val="22"/>
          <w:szCs w:val="22"/>
        </w:rPr>
        <w:t xml:space="preserve"> </w:t>
      </w:r>
      <w:r w:rsidR="00BD55B4">
        <w:rPr>
          <w:rFonts w:ascii="Calibri" w:hAnsi="Calibri" w:eastAsia="Calibri" w:cs="Calibri"/>
          <w:color w:val="1A1A1A"/>
          <w:sz w:val="22"/>
          <w:szCs w:val="22"/>
        </w:rPr>
        <w:t>obrovská</w:t>
      </w:r>
      <w:r w:rsidR="00FB33FA">
        <w:rPr>
          <w:rFonts w:ascii="Calibri" w:hAnsi="Calibri" w:eastAsia="Calibri" w:cs="Calibri"/>
          <w:color w:val="1A1A1A"/>
          <w:sz w:val="22"/>
          <w:szCs w:val="22"/>
        </w:rPr>
        <w:t>. J</w:t>
      </w:r>
      <w:r w:rsidRPr="00AE1E29" w:rsidR="00AE1E29">
        <w:rPr>
          <w:rFonts w:ascii="Calibri" w:hAnsi="Calibri" w:eastAsia="Calibri" w:cs="Calibri"/>
          <w:color w:val="1A1A1A"/>
          <w:sz w:val="22"/>
          <w:szCs w:val="22"/>
        </w:rPr>
        <w:t>en v sezóně 1898 se v Karlových Varech spotřebovalo přes 200 000 kuřat a zhruba 7 milionů vajec.</w:t>
      </w:r>
    </w:p>
    <w:p w:rsidR="28407765" w:rsidP="28407765" w:rsidRDefault="7D418C28" w14:paraId="5354915D" w14:textId="6F155976">
      <w:pPr>
        <w:jc w:val="both"/>
        <w:rPr>
          <w:rFonts w:ascii="Calibri" w:hAnsi="Calibri" w:eastAsia="Calibri" w:cs="Calibri"/>
          <w:color w:val="1A1A1A"/>
          <w:sz w:val="22"/>
          <w:szCs w:val="22"/>
        </w:rPr>
      </w:pPr>
      <w:r w:rsidRPr="1B1219BE">
        <w:rPr>
          <w:rFonts w:ascii="Calibri" w:hAnsi="Calibri" w:eastAsia="Calibri" w:cs="Calibri"/>
          <w:color w:val="1A1A1A"/>
          <w:sz w:val="22"/>
          <w:szCs w:val="22"/>
        </w:rPr>
        <w:t xml:space="preserve">Přísná dieta </w:t>
      </w:r>
      <w:r w:rsidRPr="5BA41821">
        <w:rPr>
          <w:rFonts w:ascii="Calibri" w:hAnsi="Calibri" w:eastAsia="Calibri" w:cs="Calibri"/>
          <w:color w:val="1A1A1A"/>
          <w:sz w:val="22"/>
          <w:szCs w:val="22"/>
        </w:rPr>
        <w:t>nicméně mela i</w:t>
      </w:r>
      <w:r w:rsidRPr="1B1219BE">
        <w:rPr>
          <w:rFonts w:ascii="Calibri" w:hAnsi="Calibri" w:eastAsia="Calibri" w:cs="Calibri"/>
          <w:color w:val="1A1A1A"/>
          <w:sz w:val="22"/>
          <w:szCs w:val="22"/>
        </w:rPr>
        <w:t xml:space="preserve"> své výjimky.</w:t>
      </w:r>
      <w:r w:rsidRPr="7944C4AD">
        <w:rPr>
          <w:rFonts w:ascii="Calibri" w:hAnsi="Calibri" w:eastAsia="Calibri" w:cs="Calibri"/>
          <w:color w:val="1A1A1A"/>
          <w:sz w:val="22"/>
          <w:szCs w:val="22"/>
        </w:rPr>
        <w:t xml:space="preserve"> K</w:t>
      </w:r>
      <w:r w:rsidRPr="3CFFA863" w:rsidR="006574E1">
        <w:rPr>
          <w:rFonts w:ascii="Calibri" w:hAnsi="Calibri" w:eastAsia="Calibri" w:cs="Calibri"/>
          <w:color w:val="1A1A1A"/>
          <w:sz w:val="22"/>
          <w:szCs w:val="22"/>
        </w:rPr>
        <w:t xml:space="preserve"> obědu byla dovolena sklenice piva nebo půl žejdlíku vína. </w:t>
      </w:r>
      <w:r w:rsidRPr="5B8F2CD1" w:rsidR="61B0026B">
        <w:rPr>
          <w:rFonts w:ascii="Calibri" w:hAnsi="Calibri" w:eastAsia="Calibri" w:cs="Calibri"/>
          <w:sz w:val="22"/>
          <w:szCs w:val="22"/>
        </w:rPr>
        <w:t xml:space="preserve">Některé </w:t>
      </w:r>
      <w:r w:rsidRPr="0A826EAB" w:rsidR="61B0026B">
        <w:rPr>
          <w:rFonts w:ascii="Calibri" w:hAnsi="Calibri" w:eastAsia="Calibri" w:cs="Calibri"/>
          <w:sz w:val="22"/>
          <w:szCs w:val="22"/>
        </w:rPr>
        <w:t xml:space="preserve">zákazy hosté </w:t>
      </w:r>
      <w:r w:rsidRPr="0226B5BA" w:rsidR="61B0026B">
        <w:rPr>
          <w:rFonts w:ascii="Calibri" w:hAnsi="Calibri" w:eastAsia="Calibri" w:cs="Calibri"/>
          <w:sz w:val="22"/>
          <w:szCs w:val="22"/>
        </w:rPr>
        <w:t>nicméně obcházeli</w:t>
      </w:r>
      <w:r w:rsidRPr="7ABAE7E1" w:rsidR="61B0026B">
        <w:rPr>
          <w:rFonts w:ascii="Calibri" w:hAnsi="Calibri" w:eastAsia="Calibri" w:cs="Calibri"/>
          <w:sz w:val="22"/>
          <w:szCs w:val="22"/>
        </w:rPr>
        <w:t xml:space="preserve"> po svém, třeba tak, že si ze dvou povolených doutníků udělali čtyři tenčí.</w:t>
      </w:r>
    </w:p>
    <w:p w:rsidR="006574E1" w:rsidP="006574E1" w:rsidRDefault="006574E1" w14:paraId="326E7A18" w14:textId="77777777">
      <w:pPr>
        <w:spacing w:before="60" w:after="200"/>
        <w:jc w:val="both"/>
      </w:pPr>
      <w:r w:rsidRPr="3CFFA863">
        <w:rPr>
          <w:rFonts w:ascii="Calibri" w:hAnsi="Calibri" w:eastAsia="Calibri" w:cs="Calibri"/>
          <w:i/>
          <w:iCs/>
          <w:color w:val="595959" w:themeColor="text1" w:themeTint="A6"/>
          <w:sz w:val="19"/>
          <w:szCs w:val="19"/>
        </w:rPr>
        <w:t>Zdroj: A. Čtvrtečka, Průvodce po Karlových Varech a okolí Karlovarském (1878), str. 27–28 · E. M. Rutte, Průvodce po Karlových Varech a okolí (1900), str. 28, 41</w:t>
      </w:r>
    </w:p>
    <w:p w:rsidR="006574E1" w:rsidP="006574E1" w:rsidRDefault="006574E1" w14:paraId="534EB44C" w14:textId="77777777">
      <w:pPr>
        <w:spacing w:after="240"/>
      </w:pPr>
      <w:r w:rsidRPr="3CFFA863">
        <w:rPr>
          <w:rFonts w:ascii="Calibri" w:hAnsi="Calibri" w:eastAsia="Calibri" w:cs="Calibri"/>
          <w:b/>
          <w:bCs/>
          <w:color w:val="1A1A1A"/>
          <w:sz w:val="22"/>
          <w:szCs w:val="22"/>
        </w:rPr>
        <w:t>Po lázeňské kúře nuda nehrozila</w:t>
      </w:r>
    </w:p>
    <w:p w:rsidR="006574E1" w:rsidP="006574E1" w:rsidRDefault="006574E1" w14:paraId="0D67AFB0" w14:textId="77777777">
      <w:pPr>
        <w:jc w:val="both"/>
      </w:pPr>
      <w:r w:rsidRPr="3CFFA863">
        <w:rPr>
          <w:rFonts w:ascii="Calibri" w:hAnsi="Calibri" w:eastAsia="Calibri" w:cs="Calibri"/>
          <w:color w:val="1A1A1A"/>
          <w:sz w:val="22"/>
          <w:szCs w:val="22"/>
        </w:rPr>
        <w:t>Odpoledne patřilo zábavě – divadlu, plesům, koncertům lázeňské kapely u vřídla i kuželkám a střelbě na terč. Kdo dal přednost klidu, mohl zajít do lázeňské čítárny, kde bylo k dispozici přes 160 časopisů v němčině, francouzštině, angličtině i ruštině. Předplatné na měsíc vyšlo na 4 koruny.</w:t>
      </w:r>
    </w:p>
    <w:p w:rsidR="006574E1" w:rsidP="006574E1" w:rsidRDefault="3D4EC86B" w14:paraId="5DCBB1E0" w14:textId="4B996648">
      <w:pPr>
        <w:jc w:val="both"/>
        <w:rPr>
          <w:rFonts w:ascii="Calibri" w:hAnsi="Calibri" w:eastAsia="Calibri" w:cs="Calibri"/>
          <w:color w:val="1A1A1A"/>
          <w:sz w:val="22"/>
          <w:szCs w:val="22"/>
        </w:rPr>
      </w:pPr>
      <w:r w:rsidRPr="359DD45F">
        <w:rPr>
          <w:rFonts w:ascii="Calibri" w:hAnsi="Calibri" w:eastAsia="Calibri" w:cs="Calibri"/>
          <w:sz w:val="22"/>
          <w:szCs w:val="22"/>
        </w:rPr>
        <w:t>Ke každodennímu životu v lázních patřily také dívky obsluhující u pramenů a v kavárnách.</w:t>
      </w:r>
      <w:r w:rsidRPr="3CFFA863" w:rsidR="006574E1">
        <w:rPr>
          <w:rFonts w:ascii="Calibri" w:hAnsi="Calibri" w:eastAsia="Calibri" w:cs="Calibri"/>
          <w:color w:val="1A1A1A"/>
          <w:sz w:val="22"/>
          <w:szCs w:val="22"/>
        </w:rPr>
        <w:t xml:space="preserve"> </w:t>
      </w:r>
      <w:r w:rsidRPr="2C56430A" w:rsidR="26E290AC">
        <w:rPr>
          <w:rFonts w:ascii="Calibri" w:hAnsi="Calibri" w:eastAsia="Calibri" w:cs="Calibri"/>
          <w:sz w:val="22"/>
          <w:szCs w:val="22"/>
        </w:rPr>
        <w:t>Mladá dívka prodávající oplatky se mohla stát „vodní nymfou“ u vřídla, později „kávovou dívkou“ v kavárně</w:t>
      </w:r>
      <w:r w:rsidRPr="3CFFA863" w:rsidR="006574E1">
        <w:rPr>
          <w:rFonts w:ascii="Calibri" w:hAnsi="Calibri" w:eastAsia="Calibri" w:cs="Calibri"/>
          <w:color w:val="1A1A1A"/>
          <w:sz w:val="22"/>
          <w:szCs w:val="22"/>
        </w:rPr>
        <w:t>, a v lepším případě skončila jako obsluha v lázních, v horším jako zametačka kolonád.</w:t>
      </w:r>
    </w:p>
    <w:p w:rsidR="006574E1" w:rsidP="006574E1" w:rsidRDefault="006574E1" w14:paraId="6A73CE64" w14:textId="77777777">
      <w:pPr>
        <w:spacing w:before="60" w:after="200"/>
        <w:jc w:val="both"/>
      </w:pPr>
      <w:r w:rsidRPr="3CFFA863">
        <w:rPr>
          <w:rFonts w:ascii="Calibri" w:hAnsi="Calibri" w:eastAsia="Calibri" w:cs="Calibri"/>
          <w:i/>
          <w:iCs/>
          <w:color w:val="595959" w:themeColor="text1" w:themeTint="A6"/>
          <w:sz w:val="19"/>
          <w:szCs w:val="19"/>
        </w:rPr>
        <w:t>Zdroj: E. M. Rutte, Průvodce po Karlových Varech a okolí (1900), str. 33–36, 205 · A. Čtvrtečka, Průvodce po Karlových Varech a okolí Karlovarském (1878), str. 41–43</w:t>
      </w:r>
    </w:p>
    <w:p w:rsidR="006574E1" w:rsidP="006574E1" w:rsidRDefault="006574E1" w14:paraId="77C1C15E" w14:textId="77777777">
      <w:pPr>
        <w:spacing w:after="240"/>
      </w:pPr>
      <w:r w:rsidRPr="3CFFA863">
        <w:rPr>
          <w:rFonts w:ascii="Calibri" w:hAnsi="Calibri" w:eastAsia="Calibri" w:cs="Calibri"/>
          <w:b/>
          <w:bCs/>
          <w:color w:val="1A1A1A"/>
          <w:sz w:val="22"/>
          <w:szCs w:val="22"/>
        </w:rPr>
        <w:t>Bohatí platili za pobyt desetkrát víc</w:t>
      </w:r>
    </w:p>
    <w:p w:rsidR="006574E1" w:rsidP="006574E1" w:rsidRDefault="006574E1" w14:paraId="5F243AB1" w14:textId="77777777">
      <w:pPr>
        <w:jc w:val="both"/>
      </w:pP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>Host, který se v Karlových Varech zdržel déle než osm dní, platil lázeňskou a hudební taxu podle společenského postavení. Podle ceníku z roku 1900 platili hosté „I. třídy“ (bohatí) 20 korun, „II. třídy“ (zámožní) 12 korun, „III. třídy“ 8 korun a děti do 14 let či služebnictvo jen 2 koruny. Osvobozeni byli lékaři, důstojníci a chudí hosté, kteří se prokázali potvrzením o nemajetnosti.</w:t>
      </w:r>
    </w:p>
    <w:p w:rsidR="006574E1" w:rsidP="6CF99B6F" w:rsidRDefault="006574E1" w14:paraId="0BEC88C6" w14:textId="4B70D88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Pr="6CF99B6F" w:rsidR="5D145C85">
        <w:rPr>
          <w:rFonts w:ascii="Calibri" w:hAnsi="Calibri" w:eastAsia="Calibri" w:cs="Calibri"/>
          <w:color w:val="1A1A1A"/>
          <w:sz w:val="22"/>
          <w:szCs w:val="22"/>
        </w:rPr>
        <w:t>P</w:t>
      </w: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 xml:space="preserve">odrobný byl i ceník samotných </w:t>
      </w: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>procedur.</w:t>
      </w: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 xml:space="preserve"> Salonní koupel v knížecí koupelně</w:t>
      </w:r>
      <w:r w:rsidRPr="6CF99B6F" w:rsidR="50927F96">
        <w:rPr>
          <w:rFonts w:ascii="Calibri" w:hAnsi="Calibri" w:eastAsia="Calibri" w:cs="Calibri"/>
          <w:color w:val="1A1A1A"/>
          <w:sz w:val="22"/>
          <w:szCs w:val="22"/>
        </w:rPr>
        <w:t xml:space="preserve"> v Císařských lázních</w:t>
      </w: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 xml:space="preserve"> vyšla na 16 korun, slatinná koupel s obsluhou od 4,30 do 6,60 korun podle denní doby, elektrická vodní lázeň s lékařským honorářem na 6,30 korun. Návštěva švédského léčebného tělocviku (takzvaného </w:t>
      </w: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>Zanderova</w:t>
      </w:r>
      <w:r w:rsidRPr="6CF99B6F" w:rsidR="34FBBB48">
        <w:rPr>
          <w:rFonts w:ascii="Calibri" w:hAnsi="Calibri" w:eastAsia="Calibri" w:cs="Calibri"/>
          <w:color w:val="1A1A1A"/>
          <w:sz w:val="22"/>
          <w:szCs w:val="22"/>
        </w:rPr>
        <w:t xml:space="preserve"> ústavu) stála 6 korun, týdenní předplatné na sedm návštěv 20 korun a předplatné na 20 návštěv 50 korun.</w:t>
      </w:r>
    </w:p>
    <w:p w:rsidR="006574E1" w:rsidP="006574E1" w:rsidRDefault="006574E1" w14:paraId="0C47B9B2" w14:textId="2380714F">
      <w:pPr>
        <w:jc w:val="both"/>
      </w:pPr>
      <w:r w:rsidRPr="6CF99B6F" w:rsidR="34FBBB48">
        <w:rPr>
          <w:rFonts w:ascii="Calibri" w:hAnsi="Calibri" w:eastAsia="Calibri" w:cs="Calibri"/>
          <w:sz w:val="22"/>
          <w:szCs w:val="22"/>
        </w:rPr>
        <w:t xml:space="preserve">Vedle poplatků a procedur byl výnosný i export vody samotné. Právo na zasílání karlovarské minerální vody do světa měli postupně různí nájemci už od 40. let 19. století. První nájemce v roce 1844 platil městu 500 zlatých ročně a hned v prvním roce rozeslal 100 000 lahví. V letech 1857 až 1866 měli nájem společně Friedrich </w:t>
      </w:r>
      <w:r w:rsidRPr="6CF99B6F" w:rsidR="34FBBB48">
        <w:rPr>
          <w:rFonts w:ascii="Calibri" w:hAnsi="Calibri" w:eastAsia="Calibri" w:cs="Calibri"/>
          <w:sz w:val="22"/>
          <w:szCs w:val="22"/>
        </w:rPr>
        <w:t>Knoll</w:t>
      </w:r>
      <w:r w:rsidRPr="6CF99B6F" w:rsidR="34FBBB48">
        <w:rPr>
          <w:rFonts w:ascii="Calibri" w:hAnsi="Calibri" w:eastAsia="Calibri" w:cs="Calibri"/>
          <w:sz w:val="22"/>
          <w:szCs w:val="22"/>
        </w:rPr>
        <w:t xml:space="preserve"> a Heinrich Mattoni za 6</w:t>
      </w:r>
      <w:r w:rsidRPr="6CF99B6F" w:rsidR="300BEDC8">
        <w:rPr>
          <w:rFonts w:ascii="Calibri" w:hAnsi="Calibri" w:eastAsia="Calibri" w:cs="Calibri"/>
          <w:sz w:val="22"/>
          <w:szCs w:val="22"/>
        </w:rPr>
        <w:t xml:space="preserve"> </w:t>
      </w:r>
      <w:r w:rsidRPr="6CF99B6F" w:rsidR="34FBBB48">
        <w:rPr>
          <w:rFonts w:ascii="Calibri" w:hAnsi="Calibri" w:eastAsia="Calibri" w:cs="Calibri"/>
          <w:sz w:val="22"/>
          <w:szCs w:val="22"/>
        </w:rPr>
        <w:t>050 zlatých ročně, od roku 1867 do 1876 pak samotný Heinrich Mattoni za 14 000 zlatých ročně. Do světa se v té době rozesílalo už přes dva miliony lahví karlovarské minerální vody ročně, vždy v originálních litrových lahvích a pod dozorem zdravotních úřadů.</w:t>
      </w:r>
    </w:p>
    <w:p w:rsidR="006574E1" w:rsidP="006574E1" w:rsidRDefault="006574E1" w14:paraId="36ABAA1F" w14:textId="18BA2EE8">
      <w:pPr>
        <w:spacing w:before="60" w:after="200"/>
        <w:jc w:val="both"/>
      </w:pPr>
      <w:r w:rsidRPr="3CFFA863">
        <w:rPr>
          <w:rFonts w:ascii="Calibri" w:hAnsi="Calibri" w:eastAsia="Calibri" w:cs="Calibri"/>
          <w:i/>
          <w:iCs/>
          <w:color w:val="595959" w:themeColor="text1" w:themeTint="A6"/>
          <w:sz w:val="19"/>
          <w:szCs w:val="19"/>
        </w:rPr>
        <w:t>Zdroj: M. Rutte, Průvodce po Karlových Varech a okolí (1900), str. 126, 197, 205–206</w:t>
      </w:r>
    </w:p>
    <w:p w:rsidR="006574E1" w:rsidP="006574E1" w:rsidRDefault="006574E1" w14:paraId="72AA3389" w14:textId="77777777">
      <w:pPr>
        <w:spacing w:after="240"/>
        <w:rPr>
          <w:rFonts w:ascii="Calibri" w:hAnsi="Calibri" w:eastAsia="Calibri" w:cs="Calibri"/>
          <w:b/>
          <w:bCs/>
          <w:color w:val="1A1A1A"/>
          <w:sz w:val="22"/>
          <w:szCs w:val="22"/>
        </w:rPr>
      </w:pPr>
      <w:r w:rsidRPr="7E9B7630">
        <w:rPr>
          <w:rFonts w:ascii="Calibri" w:hAnsi="Calibri" w:eastAsia="Calibri" w:cs="Calibri"/>
          <w:b/>
          <w:bCs/>
          <w:color w:val="1A1A1A"/>
          <w:sz w:val="22"/>
          <w:szCs w:val="22"/>
        </w:rPr>
        <w:t>Cenu pokoje určovala poptávka</w:t>
      </w:r>
    </w:p>
    <w:p w:rsidR="001A4E6C" w:rsidP="009431D1" w:rsidRDefault="004A6A3C" w14:paraId="2AAC49BB" w14:textId="08C74BC0">
      <w:pPr>
        <w:spacing w:before="240" w:after="240"/>
        <w:jc w:val="both"/>
        <w:rPr>
          <w:rFonts w:ascii="Calibri" w:hAnsi="Calibri" w:eastAsia="Calibri" w:cs="Calibri"/>
          <w:sz w:val="22"/>
          <w:szCs w:val="22"/>
        </w:rPr>
      </w:pPr>
      <w:r w:rsidRPr="3CFFA863">
        <w:rPr>
          <w:rFonts w:ascii="Calibri" w:hAnsi="Calibri" w:eastAsia="Calibri" w:cs="Calibri"/>
          <w:sz w:val="22"/>
          <w:szCs w:val="22"/>
        </w:rPr>
        <w:t>V hlavní sezóně se v Karlových Varech pohybovalo přes 10 000 hostů a o volné pokoje proto byla nouze. Pokud hotelier neměl pro nově příchozího hosta hned místo, ubytoval ho na pár dní provizorně v jiném pokoji.</w:t>
      </w:r>
      <w:r w:rsidRPr="3CFFA863">
        <w:rPr>
          <w:rFonts w:ascii="Calibri" w:hAnsi="Calibri" w:eastAsia="Calibri" w:cs="Calibri"/>
          <w:color w:val="1A1A1A"/>
          <w:sz w:val="22"/>
          <w:szCs w:val="22"/>
        </w:rPr>
        <w:t xml:space="preserve"> Tomuto zvyku se říkalo „dáti kurgasta k ledu“.</w:t>
      </w:r>
      <w:r w:rsidR="009431D1">
        <w:rPr>
          <w:rFonts w:ascii="Calibri" w:hAnsi="Calibri" w:eastAsia="Calibri" w:cs="Calibri"/>
          <w:color w:val="1A1A1A"/>
          <w:sz w:val="22"/>
          <w:szCs w:val="22"/>
        </w:rPr>
        <w:t xml:space="preserve"> </w:t>
      </w:r>
      <w:r w:rsidRPr="3CFFA863" w:rsidR="006574E1">
        <w:rPr>
          <w:rFonts w:ascii="Calibri" w:hAnsi="Calibri" w:eastAsia="Calibri" w:cs="Calibri"/>
          <w:sz w:val="22"/>
          <w:szCs w:val="22"/>
        </w:rPr>
        <w:t xml:space="preserve">Mezi nejvyhledávanější karlovarské hotely patřily Etablissement Pupp na Goethovu náměstí, Goldener Schild, Hotel Continental na Tržišti nebo Hotel Kaiserbad na Mariánskolázeňské třídě. </w:t>
      </w:r>
    </w:p>
    <w:p w:rsidR="006574E1" w:rsidP="00692C9F" w:rsidRDefault="006574E1" w14:paraId="21D8FC48" w14:textId="27B95C3C">
      <w:pPr>
        <w:jc w:val="both"/>
        <w:rPr>
          <w:rFonts w:ascii="Calibri" w:hAnsi="Calibri" w:eastAsia="Calibri" w:cs="Calibri"/>
          <w:sz w:val="22"/>
          <w:szCs w:val="22"/>
        </w:rPr>
      </w:pPr>
      <w:r w:rsidRPr="6CF99B6F" w:rsidR="34FBBB48">
        <w:rPr>
          <w:rFonts w:ascii="Calibri" w:hAnsi="Calibri" w:eastAsia="Calibri" w:cs="Calibri"/>
          <w:sz w:val="22"/>
          <w:szCs w:val="22"/>
        </w:rPr>
        <w:t>V hlavní sezóně</w:t>
      </w:r>
      <w:r w:rsidRPr="6CF99B6F" w:rsidR="7228864D">
        <w:rPr>
          <w:rFonts w:ascii="Calibri" w:hAnsi="Calibri" w:eastAsia="Calibri" w:cs="Calibri"/>
          <w:sz w:val="22"/>
          <w:szCs w:val="22"/>
        </w:rPr>
        <w:t xml:space="preserve"> </w:t>
      </w:r>
      <w:r w:rsidRPr="6CF99B6F" w:rsidR="34FBBB48">
        <w:rPr>
          <w:rFonts w:ascii="Calibri" w:hAnsi="Calibri" w:eastAsia="Calibri" w:cs="Calibri"/>
          <w:sz w:val="22"/>
          <w:szCs w:val="22"/>
        </w:rPr>
        <w:t xml:space="preserve">ceny pokojů prudce rostly, </w:t>
      </w:r>
      <w:r w:rsidRPr="6CF99B6F" w:rsidR="16CB9041">
        <w:rPr>
          <w:rFonts w:ascii="Calibri" w:hAnsi="Calibri" w:eastAsia="Calibri" w:cs="Calibri"/>
          <w:sz w:val="22"/>
          <w:szCs w:val="22"/>
        </w:rPr>
        <w:t>j</w:t>
      </w:r>
      <w:r w:rsidRPr="6CF99B6F" w:rsidR="34FBBB48">
        <w:rPr>
          <w:rFonts w:ascii="Calibri" w:hAnsi="Calibri" w:eastAsia="Calibri" w:cs="Calibri"/>
          <w:sz w:val="22"/>
          <w:szCs w:val="22"/>
        </w:rPr>
        <w:t>akmile</w:t>
      </w:r>
      <w:r w:rsidRPr="6CF99B6F" w:rsidR="015C1D88">
        <w:rPr>
          <w:rFonts w:ascii="Calibri" w:hAnsi="Calibri" w:eastAsia="Calibri" w:cs="Calibri"/>
          <w:sz w:val="22"/>
          <w:szCs w:val="22"/>
        </w:rPr>
        <w:t xml:space="preserve"> ale</w:t>
      </w:r>
      <w:r w:rsidRPr="6CF99B6F" w:rsidR="34FBBB48">
        <w:rPr>
          <w:rFonts w:ascii="Calibri" w:hAnsi="Calibri" w:eastAsia="Calibri" w:cs="Calibri"/>
          <w:sz w:val="22"/>
          <w:szCs w:val="22"/>
        </w:rPr>
        <w:t xml:space="preserve"> sezóna skončila, situace se obrátila. Ceny klesaly náhle o 30 až 50 procent a na domech se objevovaly cedule s nápisem „</w:t>
      </w:r>
      <w:r w:rsidRPr="6CF99B6F" w:rsidR="34FBBB48">
        <w:rPr>
          <w:rFonts w:ascii="Calibri" w:hAnsi="Calibri" w:eastAsia="Calibri" w:cs="Calibri"/>
          <w:sz w:val="22"/>
          <w:szCs w:val="22"/>
        </w:rPr>
        <w:t>Logis</w:t>
      </w:r>
      <w:r w:rsidRPr="6CF99B6F" w:rsidR="34FBBB48">
        <w:rPr>
          <w:rFonts w:ascii="Calibri" w:hAnsi="Calibri" w:eastAsia="Calibri" w:cs="Calibri"/>
          <w:sz w:val="22"/>
          <w:szCs w:val="22"/>
        </w:rPr>
        <w:t xml:space="preserve">“, tedy „byt k pronajmutí“. </w:t>
      </w:r>
      <w:r w:rsidRPr="6CF99B6F" w:rsidR="72631128">
        <w:rPr>
          <w:rFonts w:ascii="Calibri" w:hAnsi="Calibri" w:eastAsia="Calibri" w:cs="Calibri"/>
          <w:sz w:val="22"/>
          <w:szCs w:val="22"/>
        </w:rPr>
        <w:t>Ná</w:t>
      </w:r>
      <w:r w:rsidRPr="6CF99B6F" w:rsidR="239CDA18">
        <w:rPr>
          <w:rFonts w:ascii="Calibri" w:hAnsi="Calibri" w:eastAsia="Calibri" w:cs="Calibri"/>
          <w:sz w:val="22"/>
          <w:szCs w:val="22"/>
        </w:rPr>
        <w:t>vštěvníci</w:t>
      </w:r>
      <w:r w:rsidRPr="6CF99B6F" w:rsidR="34FBBB48">
        <w:rPr>
          <w:rFonts w:ascii="Calibri" w:hAnsi="Calibri" w:eastAsia="Calibri" w:cs="Calibri"/>
          <w:sz w:val="22"/>
          <w:szCs w:val="22"/>
        </w:rPr>
        <w:t xml:space="preserve"> tomuto slovu prý zpočátku nerozuměli a mysleli si, že jde o jméno majitele. Jeden host si tak údajně posteskl: „</w:t>
      </w:r>
      <w:r w:rsidRPr="6CF99B6F" w:rsidR="34FBBB48">
        <w:rPr>
          <w:rFonts w:ascii="Calibri" w:hAnsi="Calibri" w:eastAsia="Calibri" w:cs="Calibri"/>
          <w:i w:val="1"/>
          <w:iCs w:val="1"/>
          <w:sz w:val="22"/>
          <w:szCs w:val="22"/>
        </w:rPr>
        <w:t xml:space="preserve">Ale pane </w:t>
      </w:r>
      <w:r w:rsidRPr="6CF99B6F" w:rsidR="51745229">
        <w:rPr>
          <w:rFonts w:ascii="Calibri" w:hAnsi="Calibri" w:eastAsia="Calibri" w:cs="Calibri"/>
          <w:i w:val="1"/>
          <w:iCs w:val="1"/>
          <w:sz w:val="22"/>
          <w:szCs w:val="22"/>
        </w:rPr>
        <w:t>B</w:t>
      </w:r>
      <w:r w:rsidRPr="6CF99B6F" w:rsidR="34FBBB48">
        <w:rPr>
          <w:rFonts w:ascii="Calibri" w:hAnsi="Calibri" w:eastAsia="Calibri" w:cs="Calibri"/>
          <w:i w:val="1"/>
          <w:iCs w:val="1"/>
          <w:sz w:val="22"/>
          <w:szCs w:val="22"/>
        </w:rPr>
        <w:t xml:space="preserve">ože, ten pan </w:t>
      </w:r>
      <w:r w:rsidRPr="6CF99B6F" w:rsidR="34FBBB48">
        <w:rPr>
          <w:rFonts w:ascii="Calibri" w:hAnsi="Calibri" w:eastAsia="Calibri" w:cs="Calibri"/>
          <w:i w:val="1"/>
          <w:iCs w:val="1"/>
          <w:sz w:val="22"/>
          <w:szCs w:val="22"/>
        </w:rPr>
        <w:t>Logis</w:t>
      </w:r>
      <w:r w:rsidRPr="6CF99B6F" w:rsidR="34FBBB48">
        <w:rPr>
          <w:rFonts w:ascii="Calibri" w:hAnsi="Calibri" w:eastAsia="Calibri" w:cs="Calibri"/>
          <w:i w:val="1"/>
          <w:iCs w:val="1"/>
          <w:sz w:val="22"/>
          <w:szCs w:val="22"/>
        </w:rPr>
        <w:t xml:space="preserve"> musí být bohatý, když tu má v každé ulici hned několik domů.</w:t>
      </w:r>
      <w:r w:rsidRPr="6CF99B6F" w:rsidR="34FBBB48">
        <w:rPr>
          <w:rFonts w:ascii="Calibri" w:hAnsi="Calibri" w:eastAsia="Calibri" w:cs="Calibri"/>
          <w:sz w:val="22"/>
          <w:szCs w:val="22"/>
        </w:rPr>
        <w:t>“</w:t>
      </w:r>
    </w:p>
    <w:p w:rsidR="006574E1" w:rsidP="006574E1" w:rsidRDefault="006574E1" w14:paraId="1C530F08" w14:textId="2B4DBDCB">
      <w:pPr>
        <w:spacing w:before="60" w:after="200"/>
        <w:jc w:val="both"/>
      </w:pPr>
      <w:r w:rsidRPr="3CFFA863">
        <w:rPr>
          <w:rFonts w:ascii="Calibri" w:hAnsi="Calibri" w:eastAsia="Calibri" w:cs="Calibri"/>
          <w:i/>
          <w:iCs/>
          <w:color w:val="595959" w:themeColor="text1" w:themeTint="A6"/>
          <w:sz w:val="19"/>
          <w:szCs w:val="19"/>
        </w:rPr>
        <w:t>Zdroj: M. Rutte, Průvodce po Karlových Varech a okolí (1900), str. 17, 19–20</w:t>
      </w:r>
    </w:p>
    <w:p w:rsidR="008F017E" w:rsidRDefault="008F017E" w14:paraId="075E9EEA" w14:textId="6FAB0478"/>
    <w:sectPr w:rsidR="008F017E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1EE" w:rsidRDefault="009211EE" w14:paraId="54E9267E" w14:textId="77777777">
      <w:pPr>
        <w:spacing w:after="0" w:line="240" w:lineRule="auto"/>
      </w:pPr>
      <w:r>
        <w:separator/>
      </w:r>
    </w:p>
  </w:endnote>
  <w:endnote w:type="continuationSeparator" w:id="0">
    <w:p w:rsidR="009211EE" w:rsidRDefault="009211EE" w14:paraId="530E2C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FFA863" w:rsidTr="3CFFA863" w14:paraId="4C2B8F3F" w14:textId="77777777">
      <w:trPr>
        <w:trHeight w:val="300"/>
      </w:trPr>
      <w:tc>
        <w:tcPr>
          <w:tcW w:w="3005" w:type="dxa"/>
        </w:tcPr>
        <w:p w:rsidR="3CFFA863" w:rsidP="3CFFA863" w:rsidRDefault="3CFFA863" w14:paraId="52FB813A" w14:textId="0CE66B14">
          <w:pPr>
            <w:pStyle w:val="Header"/>
            <w:ind w:left="-115"/>
          </w:pPr>
        </w:p>
      </w:tc>
      <w:tc>
        <w:tcPr>
          <w:tcW w:w="3005" w:type="dxa"/>
        </w:tcPr>
        <w:p w:rsidR="3CFFA863" w:rsidP="3CFFA863" w:rsidRDefault="3CFFA863" w14:paraId="072EDFD5" w14:textId="1F7562BD">
          <w:pPr>
            <w:pStyle w:val="Header"/>
            <w:jc w:val="center"/>
          </w:pPr>
        </w:p>
      </w:tc>
      <w:tc>
        <w:tcPr>
          <w:tcW w:w="3005" w:type="dxa"/>
        </w:tcPr>
        <w:p w:rsidR="3CFFA863" w:rsidP="3CFFA863" w:rsidRDefault="3CFFA863" w14:paraId="4F0F43A6" w14:textId="48FD2299">
          <w:pPr>
            <w:pStyle w:val="Header"/>
            <w:ind w:right="-115"/>
            <w:jc w:val="right"/>
          </w:pPr>
        </w:p>
      </w:tc>
    </w:tr>
  </w:tbl>
  <w:p w:rsidR="3CFFA863" w:rsidP="3CFFA863" w:rsidRDefault="3CFFA863" w14:paraId="5FE39B70" w14:textId="06FE6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1EE" w:rsidRDefault="009211EE" w14:paraId="1BC79B9A" w14:textId="77777777">
      <w:pPr>
        <w:spacing w:after="0" w:line="240" w:lineRule="auto"/>
      </w:pPr>
      <w:r>
        <w:separator/>
      </w:r>
    </w:p>
  </w:footnote>
  <w:footnote w:type="continuationSeparator" w:id="0">
    <w:p w:rsidR="009211EE" w:rsidRDefault="009211EE" w14:paraId="1B2C839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FFA863" w:rsidTr="3CFFA863" w14:paraId="6D7545D1" w14:textId="77777777">
      <w:trPr>
        <w:trHeight w:val="300"/>
      </w:trPr>
      <w:tc>
        <w:tcPr>
          <w:tcW w:w="3005" w:type="dxa"/>
        </w:tcPr>
        <w:p w:rsidR="3CFFA863" w:rsidP="3CFFA863" w:rsidRDefault="3CFFA863" w14:paraId="44CA7217" w14:textId="59B5FD0D">
          <w:pPr>
            <w:pStyle w:val="Header"/>
            <w:ind w:left="-115"/>
          </w:pPr>
        </w:p>
      </w:tc>
      <w:tc>
        <w:tcPr>
          <w:tcW w:w="3005" w:type="dxa"/>
        </w:tcPr>
        <w:p w:rsidR="3CFFA863" w:rsidP="3CFFA863" w:rsidRDefault="3CFFA863" w14:paraId="3B56E2CE" w14:textId="3AD2DB03">
          <w:pPr>
            <w:pStyle w:val="Header"/>
            <w:jc w:val="center"/>
          </w:pPr>
        </w:p>
      </w:tc>
      <w:tc>
        <w:tcPr>
          <w:tcW w:w="3005" w:type="dxa"/>
        </w:tcPr>
        <w:p w:rsidR="3CFFA863" w:rsidP="3CFFA863" w:rsidRDefault="3CFFA863" w14:paraId="76EE6412" w14:textId="3AD09401">
          <w:pPr>
            <w:pStyle w:val="Header"/>
            <w:ind w:right="-115"/>
            <w:jc w:val="right"/>
          </w:pPr>
        </w:p>
      </w:tc>
    </w:tr>
  </w:tbl>
  <w:p w:rsidR="3CFFA863" w:rsidP="3CFFA863" w:rsidRDefault="3CFFA863" w14:paraId="1DE2A4AB" w14:textId="31BDAC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C698C"/>
    <w:rsid w:val="00000C1C"/>
    <w:rsid w:val="0002111F"/>
    <w:rsid w:val="00026497"/>
    <w:rsid w:val="00026716"/>
    <w:rsid w:val="00033548"/>
    <w:rsid w:val="00053877"/>
    <w:rsid w:val="00060113"/>
    <w:rsid w:val="00063AF1"/>
    <w:rsid w:val="0009403D"/>
    <w:rsid w:val="000C50C1"/>
    <w:rsid w:val="000D77AA"/>
    <w:rsid w:val="000E7AE9"/>
    <w:rsid w:val="00105DB4"/>
    <w:rsid w:val="00110341"/>
    <w:rsid w:val="00115F8F"/>
    <w:rsid w:val="0012193F"/>
    <w:rsid w:val="00125889"/>
    <w:rsid w:val="0013179B"/>
    <w:rsid w:val="00134E04"/>
    <w:rsid w:val="00141B49"/>
    <w:rsid w:val="00144BF5"/>
    <w:rsid w:val="001957B1"/>
    <w:rsid w:val="001A4E6C"/>
    <w:rsid w:val="001B3CF7"/>
    <w:rsid w:val="001B6B10"/>
    <w:rsid w:val="001D2F0A"/>
    <w:rsid w:val="001E3563"/>
    <w:rsid w:val="002079E4"/>
    <w:rsid w:val="002255BD"/>
    <w:rsid w:val="00281A6A"/>
    <w:rsid w:val="00283D2A"/>
    <w:rsid w:val="00297340"/>
    <w:rsid w:val="002F3A98"/>
    <w:rsid w:val="002F418F"/>
    <w:rsid w:val="00310E63"/>
    <w:rsid w:val="00314018"/>
    <w:rsid w:val="00322365"/>
    <w:rsid w:val="00341405"/>
    <w:rsid w:val="00350BD7"/>
    <w:rsid w:val="0035214C"/>
    <w:rsid w:val="0035302D"/>
    <w:rsid w:val="00353255"/>
    <w:rsid w:val="00361AD9"/>
    <w:rsid w:val="003721B1"/>
    <w:rsid w:val="003D7A41"/>
    <w:rsid w:val="003E3278"/>
    <w:rsid w:val="003F15A6"/>
    <w:rsid w:val="00406698"/>
    <w:rsid w:val="00414822"/>
    <w:rsid w:val="00415CB1"/>
    <w:rsid w:val="004213F7"/>
    <w:rsid w:val="00434CFE"/>
    <w:rsid w:val="00457457"/>
    <w:rsid w:val="00460088"/>
    <w:rsid w:val="00463E35"/>
    <w:rsid w:val="0046607B"/>
    <w:rsid w:val="00466170"/>
    <w:rsid w:val="00475388"/>
    <w:rsid w:val="004A05CE"/>
    <w:rsid w:val="004A564D"/>
    <w:rsid w:val="004A6A3C"/>
    <w:rsid w:val="004B0D48"/>
    <w:rsid w:val="004E641A"/>
    <w:rsid w:val="004E7B4F"/>
    <w:rsid w:val="004F41E6"/>
    <w:rsid w:val="004F5990"/>
    <w:rsid w:val="00503D5B"/>
    <w:rsid w:val="00504B40"/>
    <w:rsid w:val="005076F6"/>
    <w:rsid w:val="005619E9"/>
    <w:rsid w:val="00573985"/>
    <w:rsid w:val="00576540"/>
    <w:rsid w:val="00577274"/>
    <w:rsid w:val="005814F9"/>
    <w:rsid w:val="00582150"/>
    <w:rsid w:val="00584EC4"/>
    <w:rsid w:val="00596319"/>
    <w:rsid w:val="005B2C1A"/>
    <w:rsid w:val="005C381D"/>
    <w:rsid w:val="005D3BB9"/>
    <w:rsid w:val="005F23D6"/>
    <w:rsid w:val="00624C4D"/>
    <w:rsid w:val="0064588F"/>
    <w:rsid w:val="006574E1"/>
    <w:rsid w:val="00685B7C"/>
    <w:rsid w:val="00692C9F"/>
    <w:rsid w:val="0069412A"/>
    <w:rsid w:val="006B1ECA"/>
    <w:rsid w:val="006C0505"/>
    <w:rsid w:val="006C11ED"/>
    <w:rsid w:val="006F2461"/>
    <w:rsid w:val="00751D74"/>
    <w:rsid w:val="00752E56"/>
    <w:rsid w:val="00764B52"/>
    <w:rsid w:val="00777A58"/>
    <w:rsid w:val="007844F3"/>
    <w:rsid w:val="00787910"/>
    <w:rsid w:val="00791AE9"/>
    <w:rsid w:val="007D1A53"/>
    <w:rsid w:val="007E1023"/>
    <w:rsid w:val="007E41A6"/>
    <w:rsid w:val="007E453C"/>
    <w:rsid w:val="007F66D6"/>
    <w:rsid w:val="007F6705"/>
    <w:rsid w:val="00821E33"/>
    <w:rsid w:val="00825C34"/>
    <w:rsid w:val="00835F20"/>
    <w:rsid w:val="0085606C"/>
    <w:rsid w:val="0085632C"/>
    <w:rsid w:val="0086139C"/>
    <w:rsid w:val="008738B4"/>
    <w:rsid w:val="00875657"/>
    <w:rsid w:val="00887D35"/>
    <w:rsid w:val="008D0A96"/>
    <w:rsid w:val="008D4D86"/>
    <w:rsid w:val="008E1B19"/>
    <w:rsid w:val="008F017E"/>
    <w:rsid w:val="00913E6B"/>
    <w:rsid w:val="009206C5"/>
    <w:rsid w:val="009211EE"/>
    <w:rsid w:val="00926061"/>
    <w:rsid w:val="00932078"/>
    <w:rsid w:val="009431D1"/>
    <w:rsid w:val="00947E9B"/>
    <w:rsid w:val="009743D2"/>
    <w:rsid w:val="00994395"/>
    <w:rsid w:val="00995A73"/>
    <w:rsid w:val="009B08B7"/>
    <w:rsid w:val="009C7042"/>
    <w:rsid w:val="009C7F41"/>
    <w:rsid w:val="009D1809"/>
    <w:rsid w:val="009F499E"/>
    <w:rsid w:val="009F4EC0"/>
    <w:rsid w:val="009F6909"/>
    <w:rsid w:val="00A3594C"/>
    <w:rsid w:val="00A42938"/>
    <w:rsid w:val="00A53AA8"/>
    <w:rsid w:val="00AE1E29"/>
    <w:rsid w:val="00AF2B67"/>
    <w:rsid w:val="00B01A74"/>
    <w:rsid w:val="00B02AF0"/>
    <w:rsid w:val="00B070D2"/>
    <w:rsid w:val="00B075F2"/>
    <w:rsid w:val="00B11FD7"/>
    <w:rsid w:val="00B12BFB"/>
    <w:rsid w:val="00B21489"/>
    <w:rsid w:val="00B45494"/>
    <w:rsid w:val="00B56401"/>
    <w:rsid w:val="00B62071"/>
    <w:rsid w:val="00B63586"/>
    <w:rsid w:val="00B7328D"/>
    <w:rsid w:val="00B73F20"/>
    <w:rsid w:val="00B75EBE"/>
    <w:rsid w:val="00B82C60"/>
    <w:rsid w:val="00B942DB"/>
    <w:rsid w:val="00B970A8"/>
    <w:rsid w:val="00BD55B4"/>
    <w:rsid w:val="00BE41A2"/>
    <w:rsid w:val="00BE463B"/>
    <w:rsid w:val="00BF5E70"/>
    <w:rsid w:val="00C14FC0"/>
    <w:rsid w:val="00C21DAB"/>
    <w:rsid w:val="00C3195E"/>
    <w:rsid w:val="00C35477"/>
    <w:rsid w:val="00C46F1C"/>
    <w:rsid w:val="00C511E5"/>
    <w:rsid w:val="00C53ACD"/>
    <w:rsid w:val="00C60318"/>
    <w:rsid w:val="00C71F39"/>
    <w:rsid w:val="00C77623"/>
    <w:rsid w:val="00C85C5B"/>
    <w:rsid w:val="00CC078B"/>
    <w:rsid w:val="00CE5315"/>
    <w:rsid w:val="00CE662F"/>
    <w:rsid w:val="00CF5157"/>
    <w:rsid w:val="00D0299C"/>
    <w:rsid w:val="00D030C3"/>
    <w:rsid w:val="00D03EF8"/>
    <w:rsid w:val="00D05C6D"/>
    <w:rsid w:val="00D06BDA"/>
    <w:rsid w:val="00D466E9"/>
    <w:rsid w:val="00D62FCF"/>
    <w:rsid w:val="00D6633D"/>
    <w:rsid w:val="00D830BB"/>
    <w:rsid w:val="00D900F3"/>
    <w:rsid w:val="00DB4C62"/>
    <w:rsid w:val="00DC212C"/>
    <w:rsid w:val="00DD4E99"/>
    <w:rsid w:val="00DD70CD"/>
    <w:rsid w:val="00DE082B"/>
    <w:rsid w:val="00DF34A3"/>
    <w:rsid w:val="00E1143E"/>
    <w:rsid w:val="00E33C92"/>
    <w:rsid w:val="00E42AE7"/>
    <w:rsid w:val="00E53B17"/>
    <w:rsid w:val="00E7519A"/>
    <w:rsid w:val="00E90854"/>
    <w:rsid w:val="00E932BB"/>
    <w:rsid w:val="00E95CE8"/>
    <w:rsid w:val="00E962D2"/>
    <w:rsid w:val="00EB20CD"/>
    <w:rsid w:val="00ED18CB"/>
    <w:rsid w:val="00F000F2"/>
    <w:rsid w:val="00F25353"/>
    <w:rsid w:val="00F2561D"/>
    <w:rsid w:val="00F26F34"/>
    <w:rsid w:val="00F33EA8"/>
    <w:rsid w:val="00F60613"/>
    <w:rsid w:val="00F726FE"/>
    <w:rsid w:val="00F86681"/>
    <w:rsid w:val="00FA223D"/>
    <w:rsid w:val="00FA2D36"/>
    <w:rsid w:val="00FB33FA"/>
    <w:rsid w:val="00FC24F7"/>
    <w:rsid w:val="00FC4C91"/>
    <w:rsid w:val="00FD2CCF"/>
    <w:rsid w:val="015C1D88"/>
    <w:rsid w:val="017FFE0C"/>
    <w:rsid w:val="0226B5BA"/>
    <w:rsid w:val="036CECA5"/>
    <w:rsid w:val="03E00836"/>
    <w:rsid w:val="0415D95B"/>
    <w:rsid w:val="0513D9F8"/>
    <w:rsid w:val="06E2E2CC"/>
    <w:rsid w:val="07F845F6"/>
    <w:rsid w:val="0937CF9F"/>
    <w:rsid w:val="09758A3C"/>
    <w:rsid w:val="0A826EAB"/>
    <w:rsid w:val="0B8D8F24"/>
    <w:rsid w:val="0C0B4058"/>
    <w:rsid w:val="0C0F6842"/>
    <w:rsid w:val="0C2588C2"/>
    <w:rsid w:val="0C5B1784"/>
    <w:rsid w:val="0E1A5D5A"/>
    <w:rsid w:val="0E5479FF"/>
    <w:rsid w:val="0F200C14"/>
    <w:rsid w:val="0F540431"/>
    <w:rsid w:val="0FC802AE"/>
    <w:rsid w:val="1158EFEC"/>
    <w:rsid w:val="137910C1"/>
    <w:rsid w:val="13D77412"/>
    <w:rsid w:val="145BB204"/>
    <w:rsid w:val="14713F33"/>
    <w:rsid w:val="155CABF6"/>
    <w:rsid w:val="164AEAF7"/>
    <w:rsid w:val="16CB9041"/>
    <w:rsid w:val="17EBE6AD"/>
    <w:rsid w:val="1B1219BE"/>
    <w:rsid w:val="1B93E223"/>
    <w:rsid w:val="1C047ADD"/>
    <w:rsid w:val="1C06AA22"/>
    <w:rsid w:val="1C1959A3"/>
    <w:rsid w:val="1EFD7C89"/>
    <w:rsid w:val="1F2DF22C"/>
    <w:rsid w:val="1F993113"/>
    <w:rsid w:val="1FC810DB"/>
    <w:rsid w:val="203D34DB"/>
    <w:rsid w:val="20470E0D"/>
    <w:rsid w:val="20F7E178"/>
    <w:rsid w:val="239CDA18"/>
    <w:rsid w:val="25469BC8"/>
    <w:rsid w:val="26A9B110"/>
    <w:rsid w:val="26E290AC"/>
    <w:rsid w:val="271CCE52"/>
    <w:rsid w:val="28407765"/>
    <w:rsid w:val="286A0386"/>
    <w:rsid w:val="28D415EC"/>
    <w:rsid w:val="2A53C5AE"/>
    <w:rsid w:val="2C36394B"/>
    <w:rsid w:val="2C498C3D"/>
    <w:rsid w:val="2C56430A"/>
    <w:rsid w:val="2D46857B"/>
    <w:rsid w:val="2E7B7504"/>
    <w:rsid w:val="2F1FEBB9"/>
    <w:rsid w:val="300BEDC8"/>
    <w:rsid w:val="30FBF1B8"/>
    <w:rsid w:val="323A7B5E"/>
    <w:rsid w:val="338926C7"/>
    <w:rsid w:val="33912B34"/>
    <w:rsid w:val="34FBBB48"/>
    <w:rsid w:val="353C698C"/>
    <w:rsid w:val="3553FBAB"/>
    <w:rsid w:val="359DD45F"/>
    <w:rsid w:val="38AD48DF"/>
    <w:rsid w:val="39509C4E"/>
    <w:rsid w:val="3998DB11"/>
    <w:rsid w:val="3AE3D71B"/>
    <w:rsid w:val="3B70F2D3"/>
    <w:rsid w:val="3B969C46"/>
    <w:rsid w:val="3CC99345"/>
    <w:rsid w:val="3CEA5346"/>
    <w:rsid w:val="3CFFA863"/>
    <w:rsid w:val="3D4EC86B"/>
    <w:rsid w:val="3DBBE91E"/>
    <w:rsid w:val="3F4DE074"/>
    <w:rsid w:val="3F9CED6A"/>
    <w:rsid w:val="3FA0A3C7"/>
    <w:rsid w:val="3FE3879C"/>
    <w:rsid w:val="4024A3E6"/>
    <w:rsid w:val="41733157"/>
    <w:rsid w:val="418CB2A2"/>
    <w:rsid w:val="428F579F"/>
    <w:rsid w:val="4392A034"/>
    <w:rsid w:val="460C9DAB"/>
    <w:rsid w:val="4683630A"/>
    <w:rsid w:val="46988A61"/>
    <w:rsid w:val="46F81CDF"/>
    <w:rsid w:val="472DFD7D"/>
    <w:rsid w:val="4A9796D3"/>
    <w:rsid w:val="4AE0D830"/>
    <w:rsid w:val="4BD3ED50"/>
    <w:rsid w:val="4D9908C2"/>
    <w:rsid w:val="4FABD2A9"/>
    <w:rsid w:val="5061C53F"/>
    <w:rsid w:val="50927F96"/>
    <w:rsid w:val="51745229"/>
    <w:rsid w:val="52230DDF"/>
    <w:rsid w:val="52E6AEA2"/>
    <w:rsid w:val="538D79E1"/>
    <w:rsid w:val="540E761F"/>
    <w:rsid w:val="547C3113"/>
    <w:rsid w:val="557D45D3"/>
    <w:rsid w:val="55E14943"/>
    <w:rsid w:val="573EED32"/>
    <w:rsid w:val="57448825"/>
    <w:rsid w:val="584C9738"/>
    <w:rsid w:val="58787AB5"/>
    <w:rsid w:val="58E4A109"/>
    <w:rsid w:val="5968FB86"/>
    <w:rsid w:val="59D71949"/>
    <w:rsid w:val="5B8F2CD1"/>
    <w:rsid w:val="5BA41821"/>
    <w:rsid w:val="5D145C85"/>
    <w:rsid w:val="5DB281AA"/>
    <w:rsid w:val="5E8899BE"/>
    <w:rsid w:val="5EFFF8C1"/>
    <w:rsid w:val="61B0026B"/>
    <w:rsid w:val="62FED692"/>
    <w:rsid w:val="630E21C8"/>
    <w:rsid w:val="63583989"/>
    <w:rsid w:val="64AD6F83"/>
    <w:rsid w:val="65B0CD93"/>
    <w:rsid w:val="661F021D"/>
    <w:rsid w:val="677D5EF6"/>
    <w:rsid w:val="680D69D3"/>
    <w:rsid w:val="684E4573"/>
    <w:rsid w:val="6B35E063"/>
    <w:rsid w:val="6B9097D0"/>
    <w:rsid w:val="6C4F5B09"/>
    <w:rsid w:val="6CF99B6F"/>
    <w:rsid w:val="6E0E7EB7"/>
    <w:rsid w:val="6F2379CC"/>
    <w:rsid w:val="6FF4E468"/>
    <w:rsid w:val="6FF7969D"/>
    <w:rsid w:val="7228864D"/>
    <w:rsid w:val="725F8251"/>
    <w:rsid w:val="72631128"/>
    <w:rsid w:val="7283C9C8"/>
    <w:rsid w:val="72AFD456"/>
    <w:rsid w:val="72BD13BF"/>
    <w:rsid w:val="7311FEB3"/>
    <w:rsid w:val="73DD2AF2"/>
    <w:rsid w:val="74A259DF"/>
    <w:rsid w:val="754F4AE8"/>
    <w:rsid w:val="760F5433"/>
    <w:rsid w:val="76CC924A"/>
    <w:rsid w:val="786E26D5"/>
    <w:rsid w:val="79002451"/>
    <w:rsid w:val="7913162A"/>
    <w:rsid w:val="79157C87"/>
    <w:rsid w:val="7944C4AD"/>
    <w:rsid w:val="79A305B7"/>
    <w:rsid w:val="7ABAE7E1"/>
    <w:rsid w:val="7D3F3849"/>
    <w:rsid w:val="7D418C28"/>
    <w:rsid w:val="7E9B7630"/>
    <w:rsid w:val="7EB01BB9"/>
    <w:rsid w:val="7EC4E1A7"/>
    <w:rsid w:val="7F6F51E9"/>
    <w:rsid w:val="7F7CD039"/>
    <w:rsid w:val="7FDCB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9A3D29"/>
  <w15:chartTrackingRefBased/>
  <w15:docId w15:val="{F2F27061-737B-42AF-AA3A-A66F8A08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46F81CD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46F81CD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3CFFA86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CFFA86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A040D76B-51AB-452E-94B0-D04EE56A4E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838BE-8C5E-49C1-996F-F746EEC88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1D99F-BE0C-46EB-B872-18A5A96F4574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Krušinová Karolína</dc:creator>
  <keywords/>
  <dc:description/>
  <lastModifiedBy>Krušinová Karolína</lastModifiedBy>
  <revision>2</revision>
  <dcterms:created xsi:type="dcterms:W3CDTF">2026-06-29T12:55:00.0000000Z</dcterms:created>
  <dcterms:modified xsi:type="dcterms:W3CDTF">2026-06-30T12:56:22.2176260Z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