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EEE4" w14:textId="77777777" w:rsidR="005464CC" w:rsidRDefault="00000000">
      <w:pPr>
        <w:spacing w:after="160"/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  <w:proofErr w:type="spellStart"/>
      <w:r>
        <w:rPr>
          <w:rFonts w:ascii="Century Gothic" w:eastAsia="Century Gothic" w:hAnsi="Century Gothic" w:cs="Century Gothic"/>
          <w:b/>
          <w:sz w:val="26"/>
          <w:szCs w:val="26"/>
        </w:rPr>
        <w:t>Aquila</w:t>
      </w:r>
      <w:proofErr w:type="spellEnd"/>
      <w:r>
        <w:rPr>
          <w:rFonts w:ascii="Century Gothic" w:eastAsia="Century Gothic" w:hAnsi="Century Gothic" w:cs="Century Gothic"/>
          <w:b/>
          <w:sz w:val="26"/>
          <w:szCs w:val="26"/>
        </w:rPr>
        <w:t xml:space="preserve"> rozezní novou kampaň čistým tónem přírody</w:t>
      </w:r>
    </w:p>
    <w:p w14:paraId="35CF5FD8" w14:textId="77777777" w:rsidR="005464CC" w:rsidRDefault="00000000">
      <w:pPr>
        <w:spacing w:after="160"/>
        <w:jc w:val="right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>Praha, 7. srpna 2024</w:t>
      </w:r>
    </w:p>
    <w:p w14:paraId="6F9CB217" w14:textId="77777777" w:rsidR="005464CC" w:rsidRDefault="00000000">
      <w:pPr>
        <w:spacing w:after="160"/>
        <w:jc w:val="both"/>
        <w:rPr>
          <w:rFonts w:ascii="Century Gothic" w:eastAsia="Century Gothic" w:hAnsi="Century Gothic" w:cs="Century Gothic"/>
          <w:b/>
          <w:sz w:val="21"/>
          <w:szCs w:val="21"/>
        </w:rPr>
      </w:pP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, nejprodávanější česká značka kojenecké vody, přichází s novou kampaní. Ta navazuje na hudební dědictví z minulosti a vyzdvihuje i ryzí původ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Aquily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z nedotčené přírody v okolí Karlových Varů. Spot v dokonalé harmonii se zvuky přírody doprovází mladí talentovaní hudebníci.</w:t>
      </w:r>
    </w:p>
    <w:p w14:paraId="69690747" w14:textId="77777777" w:rsidR="005464CC" w:rsidRDefault="00000000">
      <w:pPr>
        <w:spacing w:after="160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Nová kampaň zdůrazňuje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přírodní původ a kojeneckou kvalitu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Aquily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a zároveň cílí i na mladší generace. </w:t>
      </w:r>
      <w:r>
        <w:rPr>
          <w:rFonts w:ascii="Century Gothic" w:eastAsia="Century Gothic" w:hAnsi="Century Gothic" w:cs="Century Gothic"/>
          <w:i/>
          <w:sz w:val="21"/>
          <w:szCs w:val="21"/>
        </w:rPr>
        <w:t>„</w:t>
      </w:r>
      <w:proofErr w:type="spellStart"/>
      <w:r>
        <w:rPr>
          <w:rFonts w:ascii="Century Gothic" w:eastAsia="Century Gothic" w:hAnsi="Century Gothic" w:cs="Century Gothic"/>
          <w:i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 se díky svému původu z panenské přírody může pochlubit jedinečnou kvalitou a čistotou. Proto je skvělým základem pitného režimu nejen pro kojence, ale pro všechny, kdo chtějí denně o své tělo pečovat skutečně přírodními produkty. Vzhledem k rostoucímu zájmu generace mileniálů a generace Z o své zdraví, je naše kampaň zaměřena především na ně. V novém spotu jsme proto obsadili mladé talentované hudebníky, kteří tak mají skvělou příležitost posunout svou kariéru na novou úroveň," 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uvádí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Helena Sikorová, senior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brand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manažerka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Aquily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>.</w:t>
      </w:r>
    </w:p>
    <w:p w14:paraId="7D49106C" w14:textId="77777777" w:rsidR="005464CC" w:rsidRDefault="00000000">
      <w:pPr>
        <w:spacing w:after="160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Autorem kreativního konceptu je agentura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Sober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Film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, o produkci se postarala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Boogie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Films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v čele s režisérem </w:t>
      </w:r>
      <w:r>
        <w:rPr>
          <w:rFonts w:ascii="Century Gothic" w:eastAsia="Century Gothic" w:hAnsi="Century Gothic" w:cs="Century Gothic"/>
          <w:b/>
          <w:sz w:val="21"/>
          <w:szCs w:val="21"/>
        </w:rPr>
        <w:t>Matyášem Fárou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. Spot rozezní zvuk čisté kapky na průzračně modrou hladinu, který rozehraje líbivou melodii zvuků přírody snoubící se se zpěvem </w:t>
      </w:r>
      <w:r>
        <w:rPr>
          <w:rFonts w:ascii="Century Gothic" w:eastAsia="Century Gothic" w:hAnsi="Century Gothic" w:cs="Century Gothic"/>
          <w:b/>
          <w:sz w:val="21"/>
          <w:szCs w:val="21"/>
        </w:rPr>
        <w:t>Rosalie Malinské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, rytmem bubnů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Rasalindy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Haa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a tóny kytary a kláves v podání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Julls</w:t>
      </w:r>
      <w:proofErr w:type="spellEnd"/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Rex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a </w:t>
      </w:r>
      <w:r>
        <w:rPr>
          <w:rFonts w:ascii="Century Gothic" w:eastAsia="Century Gothic" w:hAnsi="Century Gothic" w:cs="Century Gothic"/>
          <w:b/>
          <w:sz w:val="21"/>
          <w:szCs w:val="21"/>
        </w:rPr>
        <w:t>Michala Sikory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. Společná harmonie lidí a přírody vytváří ten nejčistší tón. </w:t>
      </w:r>
    </w:p>
    <w:p w14:paraId="7707F312" w14:textId="47716799" w:rsidR="005464CC" w:rsidRDefault="00000000">
      <w:pPr>
        <w:spacing w:after="160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>„Největší výzva, před kterou jsme stál</w:t>
      </w:r>
      <w:r w:rsidR="00832C89">
        <w:rPr>
          <w:rFonts w:ascii="Century Gothic" w:eastAsia="Century Gothic" w:hAnsi="Century Gothic" w:cs="Century Gothic"/>
          <w:i/>
          <w:sz w:val="21"/>
          <w:szCs w:val="21"/>
        </w:rPr>
        <w:t>i</w:t>
      </w: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, bylo, jak zůstat věrní odkazu </w:t>
      </w:r>
      <w:r w:rsidR="00832C89">
        <w:rPr>
          <w:rFonts w:ascii="Century Gothic" w:eastAsia="Century Gothic" w:hAnsi="Century Gothic" w:cs="Century Gothic"/>
          <w:i/>
          <w:sz w:val="21"/>
          <w:szCs w:val="21"/>
        </w:rPr>
        <w:t>značky,</w:t>
      </w: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 a především silné komunikační lince </w:t>
      </w:r>
      <w:proofErr w:type="spellStart"/>
      <w:r>
        <w:rPr>
          <w:rFonts w:ascii="Century Gothic" w:eastAsia="Century Gothic" w:hAnsi="Century Gothic" w:cs="Century Gothic"/>
          <w:i/>
          <w:sz w:val="21"/>
          <w:szCs w:val="21"/>
        </w:rPr>
        <w:t>Aquababes</w:t>
      </w:r>
      <w:proofErr w:type="spellEnd"/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. Lámali jsme si hlavu 6 měsíců, až se nám všechny benefity značky </w:t>
      </w:r>
      <w:proofErr w:type="spellStart"/>
      <w:r>
        <w:rPr>
          <w:rFonts w:ascii="Century Gothic" w:eastAsia="Century Gothic" w:hAnsi="Century Gothic" w:cs="Century Gothic"/>
          <w:i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 spojily v “Čistém tónu přírody,“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 přibližuje Tomáš </w:t>
      </w:r>
      <w:proofErr w:type="spellStart"/>
      <w:r>
        <w:rPr>
          <w:rFonts w:ascii="Century Gothic" w:eastAsia="Century Gothic" w:hAnsi="Century Gothic" w:cs="Century Gothic"/>
          <w:sz w:val="21"/>
          <w:szCs w:val="21"/>
        </w:rPr>
        <w:t>Lomič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, kreativní ředitel </w:t>
      </w:r>
      <w:proofErr w:type="spellStart"/>
      <w:r>
        <w:rPr>
          <w:rFonts w:ascii="Century Gothic" w:eastAsia="Century Gothic" w:hAnsi="Century Gothic" w:cs="Century Gothic"/>
          <w:sz w:val="21"/>
          <w:szCs w:val="21"/>
        </w:rPr>
        <w:t>Sober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Film.</w:t>
      </w:r>
    </w:p>
    <w:p w14:paraId="0704F2B4" w14:textId="77777777" w:rsidR="005464CC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Nová 360° kampaň </w:t>
      </w:r>
      <w:proofErr w:type="spellStart"/>
      <w:r>
        <w:rPr>
          <w:rFonts w:ascii="Century Gothic" w:eastAsia="Century Gothic" w:hAnsi="Century Gothic" w:cs="Century Gothic"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startuje v první polovině srpna. Zahrnuje televizní </w:t>
      </w:r>
      <w:r>
        <w:rPr>
          <w:rFonts w:ascii="Century Gothic" w:eastAsia="Century Gothic" w:hAnsi="Century Gothic" w:cs="Century Gothic"/>
          <w:sz w:val="21"/>
          <w:szCs w:val="21"/>
          <w:highlight w:val="white"/>
        </w:rPr>
        <w:t xml:space="preserve">i online spoty a </w:t>
      </w:r>
      <w:proofErr w:type="spellStart"/>
      <w:r>
        <w:rPr>
          <w:rFonts w:ascii="Century Gothic" w:eastAsia="Century Gothic" w:hAnsi="Century Gothic" w:cs="Century Gothic"/>
          <w:sz w:val="21"/>
          <w:szCs w:val="21"/>
          <w:highlight w:val="white"/>
        </w:rPr>
        <w:t>influencerskou</w:t>
      </w:r>
      <w:proofErr w:type="spellEnd"/>
      <w:r>
        <w:rPr>
          <w:rFonts w:ascii="Century Gothic" w:eastAsia="Century Gothic" w:hAnsi="Century Gothic" w:cs="Century Gothic"/>
          <w:sz w:val="21"/>
          <w:szCs w:val="21"/>
          <w:highlight w:val="white"/>
        </w:rPr>
        <w:t xml:space="preserve"> kampaň. 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ATL linku </w:t>
      </w:r>
      <w:proofErr w:type="gramStart"/>
      <w:r>
        <w:rPr>
          <w:rFonts w:ascii="Century Gothic" w:eastAsia="Century Gothic" w:hAnsi="Century Gothic" w:cs="Century Gothic"/>
          <w:sz w:val="21"/>
          <w:szCs w:val="21"/>
        </w:rPr>
        <w:t>podpoří</w:t>
      </w:r>
      <w:proofErr w:type="gramEnd"/>
      <w:r>
        <w:rPr>
          <w:rFonts w:ascii="Century Gothic" w:eastAsia="Century Gothic" w:hAnsi="Century Gothic" w:cs="Century Gothic"/>
          <w:sz w:val="21"/>
          <w:szCs w:val="21"/>
        </w:rPr>
        <w:t xml:space="preserve"> i PR kampaň. </w:t>
      </w:r>
    </w:p>
    <w:p w14:paraId="63DF8BED" w14:textId="77777777" w:rsidR="005464CC" w:rsidRDefault="00000000">
      <w:pPr>
        <w:spacing w:after="480"/>
        <w:jc w:val="both"/>
        <w:rPr>
          <w:rFonts w:ascii="Century Gothic" w:eastAsia="Century Gothic" w:hAnsi="Century Gothic" w:cs="Century Gothic"/>
          <w:sz w:val="21"/>
          <w:szCs w:val="21"/>
          <w:highlight w:val="white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Další letošní novinkou je, že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celé portfolio značky </w:t>
      </w:r>
      <w:proofErr w:type="spellStart"/>
      <w:r>
        <w:rPr>
          <w:rFonts w:ascii="Century Gothic" w:eastAsia="Century Gothic" w:hAnsi="Century Gothic" w:cs="Century Gothic"/>
          <w:b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, včetně produktů dodávaných do HORECA kanálu, je nyní </w:t>
      </w:r>
      <w:r>
        <w:rPr>
          <w:rFonts w:ascii="Century Gothic" w:eastAsia="Century Gothic" w:hAnsi="Century Gothic" w:cs="Century Gothic"/>
          <w:b/>
          <w:sz w:val="21"/>
          <w:szCs w:val="21"/>
        </w:rPr>
        <w:t>v kojenecké kvalitě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. </w:t>
      </w:r>
      <w:proofErr w:type="spellStart"/>
      <w:r>
        <w:rPr>
          <w:rFonts w:ascii="Century Gothic" w:eastAsia="Century Gothic" w:hAnsi="Century Gothic" w:cs="Century Gothic"/>
          <w:sz w:val="21"/>
          <w:szCs w:val="21"/>
        </w:rPr>
        <w:t>Aquila</w:t>
      </w:r>
      <w:proofErr w:type="spellEnd"/>
      <w:r>
        <w:rPr>
          <w:rFonts w:ascii="Century Gothic" w:eastAsia="Century Gothic" w:hAnsi="Century Gothic" w:cs="Century Gothic"/>
          <w:sz w:val="21"/>
          <w:szCs w:val="21"/>
        </w:rPr>
        <w:t xml:space="preserve"> pochází z panensky čisté přírody Doupovských hor v okolí Karlových Varů. Vyvěrá z nedotčených hlubinných pramenů a je bez jakýchkoliv úprav. Díky tomu splňuje nejpřísnější kritéria kvality, a proto může být označována jako kojenecká voda. </w:t>
      </w:r>
      <w:r>
        <w:rPr>
          <w:rFonts w:ascii="Century Gothic" w:eastAsia="Century Gothic" w:hAnsi="Century Gothic" w:cs="Century Gothic"/>
          <w:sz w:val="21"/>
          <w:szCs w:val="21"/>
          <w:highlight w:val="white"/>
        </w:rPr>
        <w:t>Je tedy ideální volbou pro všechny, kteří pro sebe chtějí tu nejčistší hydrataci.</w:t>
      </w:r>
    </w:p>
    <w:p w14:paraId="1207E734" w14:textId="77777777" w:rsidR="005464CC" w:rsidRDefault="00000000">
      <w:pPr>
        <w:spacing w:after="480"/>
        <w:jc w:val="center"/>
        <w:rPr>
          <w:rFonts w:ascii="Century Gothic" w:eastAsia="Century Gothic" w:hAnsi="Century Gothic" w:cs="Century Gothic"/>
          <w:b/>
          <w:sz w:val="21"/>
          <w:szCs w:val="21"/>
          <w:highlight w:val="white"/>
        </w:rPr>
      </w:pPr>
      <w:r>
        <w:rPr>
          <w:rFonts w:ascii="Century Gothic" w:eastAsia="Century Gothic" w:hAnsi="Century Gothic" w:cs="Century Gothic"/>
          <w:b/>
          <w:sz w:val="21"/>
          <w:szCs w:val="21"/>
          <w:highlight w:val="white"/>
        </w:rPr>
        <w:t xml:space="preserve">Nový spot je ke zhlédnutí zde: </w:t>
      </w:r>
      <w:hyperlink r:id="rId7">
        <w:r>
          <w:rPr>
            <w:rFonts w:ascii="Century Gothic" w:eastAsia="Century Gothic" w:hAnsi="Century Gothic" w:cs="Century Gothic"/>
            <w:b/>
            <w:color w:val="1155CC"/>
            <w:sz w:val="21"/>
            <w:szCs w:val="21"/>
            <w:highlight w:val="white"/>
            <w:u w:val="single"/>
          </w:rPr>
          <w:t>https://www.youtube.com/watch?v=AtD90VNSns0</w:t>
        </w:r>
      </w:hyperlink>
    </w:p>
    <w:p w14:paraId="543D8324" w14:textId="77777777" w:rsidR="005464CC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O Mattoni 1873</w:t>
      </w:r>
      <w:r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56DCE055" w14:textId="77777777" w:rsidR="005464CC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Skupina Mattoni 1873 je největším distributorem nealkoholických nápojů ve střední Evropě s kořeny sahajícími do roku 1873 ke karlovarskému rodákovi Heinrichu 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Současnou podobu získala v 90. letech díky výrazným investicím italské rodiny 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Produkty vyváží 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7296F810" w14:textId="77777777" w:rsidR="005464CC" w:rsidRDefault="005464CC">
      <w:pPr>
        <w:spacing w:after="160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sectPr w:rsidR="005464CC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BA2B" w14:textId="77777777" w:rsidR="004D3A4F" w:rsidRDefault="004D3A4F">
      <w:r>
        <w:separator/>
      </w:r>
    </w:p>
  </w:endnote>
  <w:endnote w:type="continuationSeparator" w:id="0">
    <w:p w14:paraId="2D5FC644" w14:textId="77777777" w:rsidR="004D3A4F" w:rsidRDefault="004D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E61AA31-3853-A647-B063-904C7B97FDD5}"/>
    <w:embedItalic r:id="rId2" w:fontKey="{96DA7F77-E2F0-1546-BCBE-A487C0D181F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1037A48F-4EA5-DB48-A157-38A57F3996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A797150-5CC6-CA4A-A7AB-3EFF930296E2}"/>
    <w:embedBold r:id="rId5" w:fontKey="{E6A17603-6389-2844-ACBE-FB481238E107}"/>
    <w:embedItalic r:id="rId6" w:fontKey="{DC556ADC-1A36-9941-91F5-E09EB2A114F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AAD95BAA-4B63-4842-82D0-EB82DEA28A09}"/>
    <w:embedBold r:id="rId8" w:fontKey="{57830CF5-7078-5541-9583-D54748050239}"/>
    <w:embedItalic r:id="rId9" w:fontKey="{321C15A0-DF8C-1E4E-B769-8091D4E7EC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179B" w14:textId="77777777" w:rsidR="004D3A4F" w:rsidRDefault="004D3A4F">
      <w:r>
        <w:separator/>
      </w:r>
    </w:p>
  </w:footnote>
  <w:footnote w:type="continuationSeparator" w:id="0">
    <w:p w14:paraId="1F19FEE3" w14:textId="77777777" w:rsidR="004D3A4F" w:rsidRDefault="004D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4649" w14:textId="77777777" w:rsidR="005464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9BF65BC" wp14:editId="4EAEC2F9">
          <wp:extent cx="2540000" cy="1270000"/>
          <wp:effectExtent l="0" t="0" r="0" b="0"/>
          <wp:docPr id="251641335" name="image1.png" descr="Obsah obrázku Písmo, text, Grafika, grafický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sah obrázku Písmo, text, Grafika, grafický design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0000" cy="127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4CC"/>
    <w:rsid w:val="004D3A4F"/>
    <w:rsid w:val="005464CC"/>
    <w:rsid w:val="00656F77"/>
    <w:rsid w:val="0083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C98913"/>
  <w15:docId w15:val="{D4A9FFAA-78F8-8A45-9EAF-FCD4647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4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4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4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6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6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6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6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AC46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AC4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4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4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6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6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6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6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6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678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AC4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6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6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6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6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6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67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C46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4678"/>
  </w:style>
  <w:style w:type="paragraph" w:styleId="Zpat">
    <w:name w:val="footer"/>
    <w:basedOn w:val="Normln"/>
    <w:link w:val="ZpatChar"/>
    <w:uiPriority w:val="99"/>
    <w:unhideWhenUsed/>
    <w:rsid w:val="00AC46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4678"/>
  </w:style>
  <w:style w:type="paragraph" w:customStyle="1" w:styleId="paragraph">
    <w:name w:val="paragraph"/>
    <w:basedOn w:val="Normln"/>
    <w:rsid w:val="00AC46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npsmoodstavce"/>
    <w:rsid w:val="00AC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tD90VNSns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c4Fwty1PA92/RVE0teXgUXiMgw==">CgMxLjA4AGooChRzdWdnZXN0Lml1cmEzNWF4Nm40ehIQSGVsZW5hIFNpa29yb3bDoWooChRzdWdnZXN0Ljc0emN2bHUydXNyNRIQSGVsZW5hIFNpa29yb3bDoXIhMUVudkZycDluSHlpb3ZpX1YtbEIzYV9POERDZlk1Wm5K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2528</Characters>
  <Application>Microsoft Office Word</Application>
  <DocSecurity>0</DocSecurity>
  <Lines>45</Lines>
  <Paragraphs>12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2</cp:revision>
  <dcterms:created xsi:type="dcterms:W3CDTF">2024-07-30T07:24:00Z</dcterms:created>
  <dcterms:modified xsi:type="dcterms:W3CDTF">2024-08-07T13:16:00Z</dcterms:modified>
</cp:coreProperties>
</file>