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2F1A" w14:textId="2D1993E8" w:rsidR="77800790" w:rsidRDefault="77800790" w:rsidP="0B65B2CE">
      <w:pPr>
        <w:spacing w:after="0" w:line="278" w:lineRule="auto"/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Mattoni </w:t>
      </w:r>
      <w:r w:rsidR="33F71A3F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1873 </w:t>
      </w:r>
      <w:r w:rsidR="08368A13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vrací</w:t>
      </w:r>
      <w:r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výrob</w:t>
      </w:r>
      <w:r w:rsidR="256BCE2C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u</w:t>
      </w:r>
      <w:r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Pepsi do Maďarska</w:t>
      </w:r>
      <w:r w:rsidR="42216C79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:</w:t>
      </w:r>
      <w:r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</w:t>
      </w:r>
      <w:r w:rsidR="287D4763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Investice</w:t>
      </w:r>
      <w:r w:rsidR="7200A64B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40 milionů </w:t>
      </w:r>
      <w:r w:rsidR="495E2ADF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e</w:t>
      </w:r>
      <w:r w:rsidR="7200A64B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ur</w:t>
      </w:r>
      <w:r w:rsidR="34A7126E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, provedené v poslední</w:t>
      </w:r>
      <w:r w:rsidR="7DB057A3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</w:t>
      </w:r>
      <w:r w:rsidR="7CFFE67A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dekádě</w:t>
      </w:r>
      <w:r w:rsidR="34A7126E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, </w:t>
      </w:r>
      <w:r w:rsidR="5351D1CC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oživ</w:t>
      </w:r>
      <w:r w:rsidR="477C71D1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uj</w:t>
      </w:r>
      <w:r w:rsidR="607FF961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í</w:t>
      </w:r>
      <w:r w:rsidR="5351D1CC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lokální produkci</w:t>
      </w:r>
      <w:r w:rsidR="17FA7E67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,</w:t>
      </w:r>
      <w:r w:rsidR="7200A64B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v plánu </w:t>
      </w:r>
      <w:r w:rsidR="05D9660B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jsou další </w:t>
      </w:r>
      <w:r w:rsidR="725AAF02" w:rsidRPr="0B65B2CE">
        <w:rPr>
          <w:rFonts w:ascii="Century Gothic" w:eastAsia="Century Gothic" w:hAnsi="Century Gothic" w:cs="Century Gothic"/>
          <w:b/>
          <w:bCs/>
          <w:sz w:val="26"/>
          <w:szCs w:val="26"/>
        </w:rPr>
        <w:t>rozšíření a modernizace</w:t>
      </w:r>
    </w:p>
    <w:p w14:paraId="34A7D11F" w14:textId="6CEEF2C8" w:rsidR="61144D3C" w:rsidRPr="00382BD5" w:rsidRDefault="61144D3C" w:rsidP="00382BD5">
      <w:pPr>
        <w:spacing w:after="120" w:line="278" w:lineRule="auto"/>
        <w:jc w:val="right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br/>
      </w:r>
      <w:proofErr w:type="spellStart"/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>Szentkirály</w:t>
      </w:r>
      <w:proofErr w:type="spellEnd"/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 xml:space="preserve">, Maďarsko – </w:t>
      </w:r>
      <w:r w:rsidR="7C06C8A1" w:rsidRPr="0B65B2CE">
        <w:rPr>
          <w:rFonts w:ascii="Century Gothic" w:eastAsia="Century Gothic" w:hAnsi="Century Gothic" w:cs="Century Gothic"/>
          <w:sz w:val="20"/>
          <w:szCs w:val="20"/>
        </w:rPr>
        <w:t>5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>. června 2025</w:t>
      </w:r>
    </w:p>
    <w:p w14:paraId="44A1ED5F" w14:textId="441F168F" w:rsidR="61144D3C" w:rsidRPr="00382BD5" w:rsidRDefault="730E3B4B" w:rsidP="00382BD5">
      <w:pPr>
        <w:spacing w:after="120" w:line="278" w:lineRule="auto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Česká společnost Mattoni 1873 oznámil</w:t>
      </w:r>
      <w:r w:rsidR="791D6A1F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a</w:t>
      </w: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, že v červnu letošního roku</w:t>
      </w:r>
      <w:r w:rsidR="6C6E91C4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po více než</w:t>
      </w:r>
      <w:r w:rsidR="126E1A66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deseti letech</w:t>
      </w:r>
      <w:r w:rsidR="65CD2178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od přerušení společností PepsiCo,</w:t>
      </w: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obnoví výrobu nápojů Pepsi v Maďarsku. Produkce </w:t>
      </w:r>
      <w:r w:rsidR="36AF8163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pro maďarský trh </w:t>
      </w: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se přesune do modernizovaného závodu v </w:t>
      </w:r>
      <w:proofErr w:type="spellStart"/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Szentkirály</w:t>
      </w:r>
      <w:proofErr w:type="spellEnd"/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, který v posledních letech prochází rozsáhlými investicemi v rámci rozvojového plánu. Projekt si klade za cíl posílit místní výrobu, omezit závislost na dovozu a významně přispět k ekologicky odpovědnému podnikání.</w:t>
      </w:r>
      <w:r w:rsidR="3FE8994B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Ročně se tak díky přesunu výroby ušetří asi</w:t>
      </w:r>
      <w:r w:rsidR="5E89C30A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1,5 milionu kilometrů</w:t>
      </w:r>
      <w:r w:rsidR="727C9234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2038EA88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kamionové dopravy</w:t>
      </w:r>
      <w:r w:rsidR="3FE8994B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</w:p>
    <w:p w14:paraId="06A43ED8" w14:textId="5741028E" w:rsidR="61144D3C" w:rsidRPr="00382BD5" w:rsidRDefault="7EDD9712" w:rsidP="00382BD5">
      <w:pPr>
        <w:spacing w:after="120" w:line="278" w:lineRule="auto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B65B2CE">
        <w:rPr>
          <w:rFonts w:ascii="Century Gothic" w:eastAsia="Century Gothic" w:hAnsi="Century Gothic" w:cs="Century Gothic"/>
          <w:sz w:val="20"/>
          <w:szCs w:val="20"/>
        </w:rPr>
        <w:t>Pro Mattoni 1873, jako největšího distributora nealkoholických nápojů ve střední Evropě</w:t>
      </w:r>
      <w:r w:rsidR="41AE29D8" w:rsidRPr="0B65B2C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42C007B2" w:rsidRPr="0B65B2CE">
        <w:rPr>
          <w:rFonts w:ascii="Century Gothic" w:eastAsia="Century Gothic" w:hAnsi="Century Gothic" w:cs="Century Gothic"/>
          <w:sz w:val="20"/>
          <w:szCs w:val="20"/>
        </w:rPr>
        <w:t>bylo spojení s jedn</w:t>
      </w:r>
      <w:r w:rsidR="517A5949" w:rsidRPr="0B65B2CE">
        <w:rPr>
          <w:rFonts w:ascii="Century Gothic" w:eastAsia="Century Gothic" w:hAnsi="Century Gothic" w:cs="Century Gothic"/>
          <w:sz w:val="20"/>
          <w:szCs w:val="20"/>
        </w:rPr>
        <w:t>ěmi</w:t>
      </w:r>
      <w:r w:rsidR="42C007B2" w:rsidRPr="0B65B2CE">
        <w:rPr>
          <w:rFonts w:ascii="Century Gothic" w:eastAsia="Century Gothic" w:hAnsi="Century Gothic" w:cs="Century Gothic"/>
          <w:sz w:val="20"/>
          <w:szCs w:val="20"/>
        </w:rPr>
        <w:t xml:space="preserve"> z </w:t>
      </w:r>
      <w:r w:rsidR="3617A958" w:rsidRPr="0B65B2CE">
        <w:rPr>
          <w:rFonts w:ascii="Century Gothic" w:eastAsia="Century Gothic" w:hAnsi="Century Gothic" w:cs="Century Gothic"/>
          <w:sz w:val="20"/>
          <w:szCs w:val="20"/>
        </w:rPr>
        <w:t>nejvýznamnějších</w:t>
      </w:r>
      <w:r w:rsidR="42C007B2" w:rsidRPr="0B65B2CE">
        <w:rPr>
          <w:rFonts w:ascii="Century Gothic" w:eastAsia="Century Gothic" w:hAnsi="Century Gothic" w:cs="Century Gothic"/>
          <w:sz w:val="20"/>
          <w:szCs w:val="20"/>
        </w:rPr>
        <w:t xml:space="preserve"> maďarských potravinářských podniků</w:t>
      </w:r>
      <w:r w:rsidR="1A8F0108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1A8F0108" w:rsidRPr="0B65B2CE">
        <w:rPr>
          <w:rFonts w:ascii="Century Gothic" w:eastAsia="Century Gothic" w:hAnsi="Century Gothic" w:cs="Century Gothic"/>
          <w:sz w:val="20"/>
          <w:szCs w:val="20"/>
        </w:rPr>
        <w:t>Szentkirályi</w:t>
      </w:r>
      <w:proofErr w:type="spellEnd"/>
      <w:r w:rsidR="1A8F0108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1A8F0108" w:rsidRPr="0B65B2CE">
        <w:rPr>
          <w:rFonts w:ascii="Century Gothic" w:eastAsia="Century Gothic" w:hAnsi="Century Gothic" w:cs="Century Gothic"/>
          <w:sz w:val="20"/>
          <w:szCs w:val="20"/>
        </w:rPr>
        <w:t>Magyarország</w:t>
      </w:r>
      <w:proofErr w:type="spellEnd"/>
      <w:r w:rsidR="7431752F" w:rsidRPr="0B65B2CE">
        <w:rPr>
          <w:rFonts w:ascii="Century Gothic" w:eastAsia="Century Gothic" w:hAnsi="Century Gothic" w:cs="Century Gothic"/>
          <w:sz w:val="20"/>
          <w:szCs w:val="20"/>
        </w:rPr>
        <w:t xml:space="preserve"> a </w:t>
      </w:r>
      <w:proofErr w:type="spellStart"/>
      <w:r w:rsidR="7431752F" w:rsidRPr="0B65B2CE">
        <w:rPr>
          <w:rFonts w:ascii="Century Gothic" w:eastAsia="Century Gothic" w:hAnsi="Century Gothic" w:cs="Century Gothic"/>
          <w:sz w:val="20"/>
          <w:szCs w:val="20"/>
        </w:rPr>
        <w:t>K</w:t>
      </w:r>
      <w:r w:rsidR="329061C4" w:rsidRPr="0B65B2CE">
        <w:rPr>
          <w:rFonts w:ascii="Century Gothic" w:eastAsia="Century Gothic" w:hAnsi="Century Gothic" w:cs="Century Gothic"/>
          <w:sz w:val="20"/>
          <w:szCs w:val="20"/>
        </w:rPr>
        <w:t>é</w:t>
      </w:r>
      <w:r w:rsidR="7431752F" w:rsidRPr="0B65B2CE">
        <w:rPr>
          <w:rFonts w:ascii="Century Gothic" w:eastAsia="Century Gothic" w:hAnsi="Century Gothic" w:cs="Century Gothic"/>
          <w:sz w:val="20"/>
          <w:szCs w:val="20"/>
        </w:rPr>
        <w:t>kkúti</w:t>
      </w:r>
      <w:proofErr w:type="spellEnd"/>
      <w:r w:rsidR="7F1A6350" w:rsidRPr="0B65B2CE">
        <w:rPr>
          <w:rFonts w:ascii="Century Gothic" w:eastAsia="Century Gothic" w:hAnsi="Century Gothic" w:cs="Century Gothic"/>
          <w:sz w:val="20"/>
          <w:szCs w:val="20"/>
        </w:rPr>
        <w:t xml:space="preserve"> nejen strategickou příležitostí.</w:t>
      </w:r>
      <w:r w:rsidR="0B65B2CE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B65B2CE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„Od počátku nás spojovala snaha o odpovědný přístup k přírodním zdrojům, důraz na regionální rozvoj a důvěra ve společnou vizi. Spojení se </w:t>
      </w:r>
      <w:proofErr w:type="spellStart"/>
      <w:r w:rsidR="0B65B2CE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>Szentkirályi</w:t>
      </w:r>
      <w:proofErr w:type="spellEnd"/>
      <w:r w:rsidR="0B65B2CE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</w:t>
      </w:r>
      <w:r w:rsidR="159B282B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a </w:t>
      </w:r>
      <w:proofErr w:type="spellStart"/>
      <w:r w:rsidR="159B282B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>K</w:t>
      </w:r>
      <w:r w:rsidR="117A9AC8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>é</w:t>
      </w:r>
      <w:r w:rsidR="159B282B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>kkúti</w:t>
      </w:r>
      <w:proofErr w:type="spellEnd"/>
      <w:r w:rsidR="159B282B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</w:t>
      </w:r>
      <w:r w:rsidR="0B65B2CE" w:rsidRPr="0B65B2CE">
        <w:rPr>
          <w:rFonts w:ascii="Century Gothic" w:eastAsia="Century Gothic" w:hAnsi="Century Gothic" w:cs="Century Gothic"/>
          <w:i/>
          <w:iCs/>
          <w:sz w:val="20"/>
          <w:szCs w:val="20"/>
        </w:rPr>
        <w:t>tak bylo přirozeným a logickým krokem. Dnes se tyto hodnoty promítají do konkrétních výsledků,“</w:t>
      </w:r>
      <w:r w:rsidR="0B65B2CE" w:rsidRPr="0B65B2CE">
        <w:rPr>
          <w:rFonts w:ascii="Century Gothic" w:eastAsia="Century Gothic" w:hAnsi="Century Gothic" w:cs="Century Gothic"/>
          <w:sz w:val="20"/>
          <w:szCs w:val="20"/>
        </w:rPr>
        <w:t xml:space="preserve"> říká</w:t>
      </w:r>
      <w:r w:rsidR="0B65B2CE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Alessandro </w:t>
      </w:r>
      <w:proofErr w:type="spellStart"/>
      <w:r w:rsidR="0B65B2CE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Pasquale</w:t>
      </w:r>
      <w:proofErr w:type="spellEnd"/>
      <w:r w:rsidR="0B65B2CE"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, výkonný prezident Mattoni 1873.</w:t>
      </w:r>
    </w:p>
    <w:p w14:paraId="3B2AEE7C" w14:textId="35EFE214" w:rsidR="07D4B652" w:rsidRDefault="07D4B652" w:rsidP="0B65B2CE">
      <w:pPr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Lokální výroba šetří přírodu</w:t>
      </w:r>
    </w:p>
    <w:p w14:paraId="6A32F26C" w14:textId="700CD88F" w:rsidR="47F756AE" w:rsidRPr="00382BD5" w:rsidRDefault="0BAB2204" w:rsidP="00382BD5">
      <w:pPr>
        <w:spacing w:after="120" w:line="278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Obnovení výroby Pepsi v Maďarsku přináší výrazné ekologické i ekonomické přínosy. Díky přesunu stáčení do závodu v </w:t>
      </w: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t>Szentkirály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se výrazně sníží uhlíková stopa – nahradí se totiž dosavadní dovoz nápojů ze zahraničí, který každoročně představoval </w:t>
      </w:r>
      <w:r w:rsidR="00BD0CA3" w:rsidRPr="0B65B2CE">
        <w:rPr>
          <w:rFonts w:ascii="Century Gothic" w:eastAsia="Century Gothic" w:hAnsi="Century Gothic" w:cs="Century Gothic"/>
          <w:sz w:val="20"/>
          <w:szCs w:val="20"/>
        </w:rPr>
        <w:t xml:space="preserve">kamionovou 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>přepravu v rozsahu přibližně</w:t>
      </w:r>
      <w:r w:rsidR="2F6FBAF3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08A6890" w:rsidRPr="0B65B2CE">
        <w:rPr>
          <w:rFonts w:ascii="Century Gothic" w:eastAsia="Century Gothic" w:hAnsi="Century Gothic" w:cs="Century Gothic"/>
          <w:sz w:val="20"/>
          <w:szCs w:val="20"/>
        </w:rPr>
        <w:t>1,5 milionu kilometrů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>. Nové uspořádání tak nejen šetří životní prostředí, ale zároveň posiluje lokální výrobu.</w:t>
      </w:r>
      <w:r w:rsidR="311ABDA9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067EA21" w14:textId="08F13A11" w:rsidR="6732AE15" w:rsidRPr="00382BD5" w:rsidRDefault="311ABDA9" w:rsidP="00382BD5">
      <w:pPr>
        <w:spacing w:after="120" w:line="278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Nová výrobní kapacita zahrnuje nejmodernější </w:t>
      </w:r>
      <w:r w:rsidR="7F5A5407" w:rsidRPr="0B65B2CE">
        <w:rPr>
          <w:rFonts w:ascii="Century Gothic" w:eastAsia="Century Gothic" w:hAnsi="Century Gothic" w:cs="Century Gothic"/>
          <w:sz w:val="20"/>
          <w:szCs w:val="20"/>
        </w:rPr>
        <w:t>zařízení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na přípravu sirupů</w:t>
      </w:r>
      <w:r w:rsidR="0282CA96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>a stáčecí linky</w:t>
      </w:r>
      <w:r w:rsidR="58019D4C" w:rsidRPr="0B65B2CE">
        <w:rPr>
          <w:rFonts w:ascii="Century Gothic" w:eastAsia="Century Gothic" w:hAnsi="Century Gothic" w:cs="Century Gothic"/>
          <w:sz w:val="20"/>
          <w:szCs w:val="20"/>
        </w:rPr>
        <w:t xml:space="preserve"> odpovídající 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>přísn</w:t>
      </w:r>
      <w:r w:rsidR="5FF9D9EF" w:rsidRPr="0B65B2CE">
        <w:rPr>
          <w:rFonts w:ascii="Century Gothic" w:eastAsia="Century Gothic" w:hAnsi="Century Gothic" w:cs="Century Gothic"/>
          <w:sz w:val="20"/>
          <w:szCs w:val="20"/>
        </w:rPr>
        <w:t>ým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standard</w:t>
      </w:r>
      <w:r w:rsidR="2E10F0D0" w:rsidRPr="0B65B2CE">
        <w:rPr>
          <w:rFonts w:ascii="Century Gothic" w:eastAsia="Century Gothic" w:hAnsi="Century Gothic" w:cs="Century Gothic"/>
          <w:sz w:val="20"/>
          <w:szCs w:val="20"/>
        </w:rPr>
        <w:t>ům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kvality požadovan</w:t>
      </w:r>
      <w:r w:rsidR="778DFFA7" w:rsidRPr="0B65B2CE">
        <w:rPr>
          <w:rFonts w:ascii="Century Gothic" w:eastAsia="Century Gothic" w:hAnsi="Century Gothic" w:cs="Century Gothic"/>
          <w:sz w:val="20"/>
          <w:szCs w:val="20"/>
        </w:rPr>
        <w:t>ých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společností PepsiCo</w:t>
      </w:r>
      <w:r w:rsidR="217A8A6A" w:rsidRPr="0B65B2C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7E4A1EC" w:rsidRPr="0B65B2CE">
        <w:rPr>
          <w:rFonts w:ascii="Century Gothic" w:eastAsia="Century Gothic" w:hAnsi="Century Gothic" w:cs="Century Gothic"/>
          <w:sz w:val="20"/>
          <w:szCs w:val="20"/>
        </w:rPr>
        <w:t xml:space="preserve">Součástí jsou ale i pokročilé </w:t>
      </w:r>
      <w:r w:rsidR="217A8A6A" w:rsidRPr="0B65B2CE">
        <w:rPr>
          <w:rFonts w:ascii="Century Gothic" w:eastAsia="Century Gothic" w:hAnsi="Century Gothic" w:cs="Century Gothic"/>
          <w:sz w:val="20"/>
          <w:szCs w:val="20"/>
        </w:rPr>
        <w:t>systémy na čištění vody</w:t>
      </w:r>
      <w:r w:rsidR="7FEE537C" w:rsidRPr="0B65B2CE">
        <w:rPr>
          <w:rFonts w:ascii="Century Gothic" w:eastAsia="Century Gothic" w:hAnsi="Century Gothic" w:cs="Century Gothic"/>
          <w:sz w:val="20"/>
          <w:szCs w:val="20"/>
        </w:rPr>
        <w:t>, které zajistí provoz v souladu s nejvyššími ekologickými standardy.</w:t>
      </w:r>
    </w:p>
    <w:p w14:paraId="0ECE4FD0" w14:textId="2D14F0EF" w:rsidR="06B8B90D" w:rsidRDefault="06B8B90D" w:rsidP="0B65B2CE">
      <w:pPr>
        <w:spacing w:after="120" w:line="278" w:lineRule="auto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B65B2CE">
        <w:rPr>
          <w:rFonts w:ascii="Century Gothic" w:eastAsia="Century Gothic" w:hAnsi="Century Gothic" w:cs="Century Gothic"/>
          <w:b/>
          <w:bCs/>
          <w:sz w:val="20"/>
          <w:szCs w:val="20"/>
        </w:rPr>
        <w:t>Investice v hodnotě 40 milionů eur</w:t>
      </w:r>
    </w:p>
    <w:p w14:paraId="71D46ACE" w14:textId="7901ADDC" w:rsidR="1B3D3319" w:rsidRPr="00382BD5" w:rsidRDefault="2D826019" w:rsidP="00382BD5">
      <w:pPr>
        <w:spacing w:after="120" w:line="278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B65B2CE">
        <w:rPr>
          <w:rFonts w:ascii="Century Gothic" w:eastAsia="Century Gothic" w:hAnsi="Century Gothic" w:cs="Century Gothic"/>
          <w:sz w:val="20"/>
          <w:szCs w:val="20"/>
        </w:rPr>
        <w:t>Instalace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 link</w:t>
      </w:r>
      <w:r w:rsidR="1D455EA6" w:rsidRPr="0B65B2CE">
        <w:rPr>
          <w:rFonts w:ascii="Century Gothic" w:eastAsia="Century Gothic" w:hAnsi="Century Gothic" w:cs="Century Gothic"/>
          <w:sz w:val="20"/>
          <w:szCs w:val="20"/>
        </w:rPr>
        <w:t>y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574A6251" w:rsidRPr="0B65B2CE">
        <w:rPr>
          <w:rFonts w:ascii="Century Gothic" w:eastAsia="Century Gothic" w:hAnsi="Century Gothic" w:cs="Century Gothic"/>
          <w:sz w:val="20"/>
          <w:szCs w:val="20"/>
        </w:rPr>
        <w:t>na výrobu sycených nealkoholick</w:t>
      </w:r>
      <w:r w:rsidR="72A610F2" w:rsidRPr="0B65B2CE">
        <w:rPr>
          <w:rFonts w:ascii="Century Gothic" w:eastAsia="Century Gothic" w:hAnsi="Century Gothic" w:cs="Century Gothic"/>
          <w:sz w:val="20"/>
          <w:szCs w:val="20"/>
        </w:rPr>
        <w:t>ých nápojů</w:t>
      </w:r>
      <w:r w:rsidR="63CD345D" w:rsidRPr="0B65B2CE">
        <w:rPr>
          <w:rFonts w:ascii="Century Gothic" w:eastAsia="Century Gothic" w:hAnsi="Century Gothic" w:cs="Century Gothic"/>
          <w:sz w:val="20"/>
          <w:szCs w:val="20"/>
        </w:rPr>
        <w:t xml:space="preserve">, například Pepsi, </w:t>
      </w:r>
      <w:proofErr w:type="spellStart"/>
      <w:r w:rsidR="63CD345D" w:rsidRPr="0B65B2CE">
        <w:rPr>
          <w:rFonts w:ascii="Century Gothic" w:eastAsia="Century Gothic" w:hAnsi="Century Gothic" w:cs="Century Gothic"/>
          <w:sz w:val="20"/>
          <w:szCs w:val="20"/>
        </w:rPr>
        <w:t>Mirinda</w:t>
      </w:r>
      <w:proofErr w:type="spellEnd"/>
      <w:r w:rsidR="7D0E1F75" w:rsidRPr="0B65B2CE">
        <w:rPr>
          <w:rFonts w:ascii="Century Gothic" w:eastAsia="Century Gothic" w:hAnsi="Century Gothic" w:cs="Century Gothic"/>
          <w:sz w:val="20"/>
          <w:szCs w:val="20"/>
        </w:rPr>
        <w:t xml:space="preserve"> či</w:t>
      </w:r>
      <w:r w:rsidR="63CD345D" w:rsidRPr="0B65B2CE">
        <w:rPr>
          <w:rFonts w:ascii="Century Gothic" w:eastAsia="Century Gothic" w:hAnsi="Century Gothic" w:cs="Century Gothic"/>
          <w:sz w:val="20"/>
          <w:szCs w:val="20"/>
        </w:rPr>
        <w:t xml:space="preserve"> 7up</w:t>
      </w:r>
      <w:r w:rsidR="3A1C3D49" w:rsidRPr="0B65B2CE">
        <w:rPr>
          <w:rFonts w:ascii="Century Gothic" w:eastAsia="Century Gothic" w:hAnsi="Century Gothic" w:cs="Century Gothic"/>
          <w:sz w:val="20"/>
          <w:szCs w:val="20"/>
        </w:rPr>
        <w:t>,</w:t>
      </w:r>
      <w:r w:rsidR="72A610F2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je součástí </w:t>
      </w:r>
      <w:r w:rsidR="15EEE004" w:rsidRPr="0B65B2CE">
        <w:rPr>
          <w:rFonts w:ascii="Century Gothic" w:eastAsia="Century Gothic" w:hAnsi="Century Gothic" w:cs="Century Gothic"/>
          <w:sz w:val="20"/>
          <w:szCs w:val="20"/>
        </w:rPr>
        <w:t xml:space="preserve">dlouhodobější 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investiční </w:t>
      </w:r>
      <w:r w:rsidR="095E8D47" w:rsidRPr="0B65B2CE">
        <w:rPr>
          <w:rFonts w:ascii="Century Gothic" w:eastAsia="Century Gothic" w:hAnsi="Century Gothic" w:cs="Century Gothic"/>
          <w:sz w:val="20"/>
          <w:szCs w:val="20"/>
        </w:rPr>
        <w:t>strategie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33CD5DA5" w:rsidRPr="0B65B2CE">
        <w:rPr>
          <w:rFonts w:ascii="Century Gothic" w:eastAsia="Century Gothic" w:hAnsi="Century Gothic" w:cs="Century Gothic"/>
          <w:sz w:val="20"/>
          <w:szCs w:val="20"/>
        </w:rPr>
        <w:t>pro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5AC38709" w:rsidRPr="0B65B2CE">
        <w:rPr>
          <w:rFonts w:ascii="Century Gothic" w:eastAsia="Century Gothic" w:hAnsi="Century Gothic" w:cs="Century Gothic"/>
          <w:sz w:val="20"/>
          <w:szCs w:val="20"/>
        </w:rPr>
        <w:t xml:space="preserve">rozšíření výrobní kapacity </w:t>
      </w:r>
      <w:r w:rsidR="23DFA389" w:rsidRPr="0B65B2CE"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 w:rsidR="5D94363A" w:rsidRPr="0B65B2CE">
        <w:rPr>
          <w:rFonts w:ascii="Century Gothic" w:eastAsia="Century Gothic" w:hAnsi="Century Gothic" w:cs="Century Gothic"/>
          <w:sz w:val="20"/>
          <w:szCs w:val="20"/>
        </w:rPr>
        <w:t xml:space="preserve">modernizaci </w:t>
      </w:r>
      <w:r w:rsidR="5E38530E" w:rsidRPr="0B65B2CE">
        <w:rPr>
          <w:rFonts w:ascii="Century Gothic" w:eastAsia="Century Gothic" w:hAnsi="Century Gothic" w:cs="Century Gothic"/>
          <w:sz w:val="20"/>
          <w:szCs w:val="20"/>
        </w:rPr>
        <w:t xml:space="preserve">závodu v </w:t>
      </w:r>
      <w:proofErr w:type="spellStart"/>
      <w:r w:rsidR="5E38530E" w:rsidRPr="0B65B2CE">
        <w:rPr>
          <w:rFonts w:ascii="Century Gothic" w:eastAsia="Century Gothic" w:hAnsi="Century Gothic" w:cs="Century Gothic"/>
          <w:sz w:val="20"/>
          <w:szCs w:val="20"/>
        </w:rPr>
        <w:t>Szentkirály</w:t>
      </w:r>
      <w:proofErr w:type="spellEnd"/>
      <w:r w:rsidR="5EB21699" w:rsidRPr="0B65B2CE">
        <w:rPr>
          <w:rFonts w:ascii="Century Gothic" w:eastAsia="Century Gothic" w:hAnsi="Century Gothic" w:cs="Century Gothic"/>
          <w:sz w:val="20"/>
          <w:szCs w:val="20"/>
        </w:rPr>
        <w:t>.</w:t>
      </w:r>
      <w:r w:rsidR="502D5655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2D45BD0C" w:rsidRPr="0B65B2CE">
        <w:rPr>
          <w:rFonts w:ascii="Century Gothic" w:eastAsia="Century Gothic" w:hAnsi="Century Gothic" w:cs="Century Gothic"/>
          <w:sz w:val="20"/>
          <w:szCs w:val="20"/>
        </w:rPr>
        <w:t>V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 xml:space="preserve"> roce 2023 zde byla uvedena do provozu nová vysokokapacitní linka na stáčení do PET lahví, včetně těch s podílem recyklovaného plastu (</w:t>
      </w:r>
      <w:proofErr w:type="spellStart"/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>rPET</w:t>
      </w:r>
      <w:proofErr w:type="spellEnd"/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>). N</w:t>
      </w:r>
      <w:r w:rsidR="7853FE00" w:rsidRPr="0B65B2CE">
        <w:rPr>
          <w:rFonts w:ascii="Century Gothic" w:eastAsia="Century Gothic" w:hAnsi="Century Gothic" w:cs="Century Gothic"/>
          <w:sz w:val="20"/>
          <w:szCs w:val="20"/>
        </w:rPr>
        <w:t>yní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6A0F84CD" w:rsidRPr="0B65B2CE">
        <w:rPr>
          <w:rFonts w:ascii="Century Gothic" w:eastAsia="Century Gothic" w:hAnsi="Century Gothic" w:cs="Century Gothic"/>
          <w:sz w:val="20"/>
          <w:szCs w:val="20"/>
        </w:rPr>
        <w:t xml:space="preserve">naváže 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>další</w:t>
      </w:r>
      <w:r w:rsidR="21C275E1" w:rsidRPr="0B65B2CE">
        <w:rPr>
          <w:rFonts w:ascii="Century Gothic" w:eastAsia="Century Gothic" w:hAnsi="Century Gothic" w:cs="Century Gothic"/>
          <w:sz w:val="20"/>
          <w:szCs w:val="20"/>
        </w:rPr>
        <w:t xml:space="preserve"> a poslední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 xml:space="preserve"> etapa </w:t>
      </w:r>
      <w:r w:rsidR="2BA70F1D" w:rsidRPr="0B65B2CE">
        <w:rPr>
          <w:rFonts w:ascii="Century Gothic" w:eastAsia="Century Gothic" w:hAnsi="Century Gothic" w:cs="Century Gothic"/>
          <w:sz w:val="20"/>
          <w:szCs w:val="20"/>
        </w:rPr>
        <w:t xml:space="preserve">plánu 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>– v příštích měsících a letech se počítá s instalací</w:t>
      </w:r>
      <w:r w:rsidR="21565D97" w:rsidRPr="0B65B2CE">
        <w:rPr>
          <w:rFonts w:ascii="Century Gothic" w:eastAsia="Century Gothic" w:hAnsi="Century Gothic" w:cs="Century Gothic"/>
          <w:sz w:val="20"/>
          <w:szCs w:val="20"/>
        </w:rPr>
        <w:t xml:space="preserve"> dalších moderních stáčecích</w:t>
      </w:r>
      <w:r w:rsidR="730E3B4B" w:rsidRPr="0B65B2CE">
        <w:rPr>
          <w:rFonts w:ascii="Century Gothic" w:eastAsia="Century Gothic" w:hAnsi="Century Gothic" w:cs="Century Gothic"/>
          <w:sz w:val="20"/>
          <w:szCs w:val="20"/>
        </w:rPr>
        <w:t xml:space="preserve"> linek</w:t>
      </w:r>
      <w:r w:rsidR="3FC67AE1" w:rsidRPr="0B65B2CE">
        <w:rPr>
          <w:rFonts w:ascii="Century Gothic" w:eastAsia="Century Gothic" w:hAnsi="Century Gothic" w:cs="Century Gothic"/>
          <w:sz w:val="20"/>
          <w:szCs w:val="20"/>
        </w:rPr>
        <w:t>.</w:t>
      </w:r>
      <w:r w:rsidR="7CB469F2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4FBA6C8C" w:rsidRPr="0B65B2CE">
        <w:rPr>
          <w:rFonts w:ascii="Century Gothic" w:eastAsia="Century Gothic" w:hAnsi="Century Gothic" w:cs="Century Gothic"/>
          <w:sz w:val="20"/>
          <w:szCs w:val="20"/>
        </w:rPr>
        <w:t xml:space="preserve"> Od roku 2015, kdy společnost vstoupila na maďarský trh, vložila </w:t>
      </w:r>
      <w:r w:rsidR="7CB469F2" w:rsidRPr="0B65B2CE">
        <w:rPr>
          <w:rFonts w:ascii="Century Gothic" w:eastAsia="Century Gothic" w:hAnsi="Century Gothic" w:cs="Century Gothic"/>
          <w:sz w:val="20"/>
          <w:szCs w:val="20"/>
        </w:rPr>
        <w:t xml:space="preserve">Mattoni 1873 </w:t>
      </w:r>
      <w:r w:rsidR="7A6E98A0" w:rsidRPr="0B65B2CE">
        <w:rPr>
          <w:rFonts w:ascii="Century Gothic" w:eastAsia="Century Gothic" w:hAnsi="Century Gothic" w:cs="Century Gothic"/>
          <w:sz w:val="20"/>
          <w:szCs w:val="20"/>
        </w:rPr>
        <w:t>do rozvoje a modernizace lokální výroby nealkoholických nápojů celkem asi</w:t>
      </w:r>
      <w:r w:rsidR="7CB469F2" w:rsidRPr="0B65B2CE">
        <w:rPr>
          <w:rFonts w:ascii="Century Gothic" w:eastAsia="Century Gothic" w:hAnsi="Century Gothic" w:cs="Century Gothic"/>
          <w:sz w:val="20"/>
          <w:szCs w:val="20"/>
        </w:rPr>
        <w:t xml:space="preserve"> 40 milionů eur.</w:t>
      </w:r>
    </w:p>
    <w:p w14:paraId="641C4385" w14:textId="77777777" w:rsidR="00611937" w:rsidRDefault="1ECF5764" w:rsidP="00611937">
      <w:pPr>
        <w:spacing w:before="240" w:after="480" w:line="278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lastRenderedPageBreak/>
        <w:t>Szentkirályi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t>Magyarország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dnes patří mezi nejvýznamnější potravinářské podniky v Maďarsku. Její portfolio zahrnuje minerální vody, ochucené nápoje, sycené limonády </w:t>
      </w:r>
      <w:r w:rsidR="2CF6D893" w:rsidRPr="0B65B2CE">
        <w:rPr>
          <w:rFonts w:ascii="Century Gothic" w:eastAsia="Century Gothic" w:hAnsi="Century Gothic" w:cs="Century Gothic"/>
          <w:sz w:val="20"/>
          <w:szCs w:val="20"/>
        </w:rPr>
        <w:t>nebo slané pochutiny</w:t>
      </w:r>
      <w:r w:rsidR="75ADA322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– od </w:t>
      </w:r>
      <w:r w:rsidR="463133C7" w:rsidRPr="0B65B2CE">
        <w:rPr>
          <w:rFonts w:ascii="Century Gothic" w:eastAsia="Century Gothic" w:hAnsi="Century Gothic" w:cs="Century Gothic"/>
          <w:sz w:val="20"/>
          <w:szCs w:val="20"/>
        </w:rPr>
        <w:t xml:space="preserve">oblíbených </w:t>
      </w:r>
      <w:r w:rsidR="481455F2" w:rsidRPr="0B65B2CE">
        <w:rPr>
          <w:rFonts w:ascii="Century Gothic" w:eastAsia="Century Gothic" w:hAnsi="Century Gothic" w:cs="Century Gothic"/>
          <w:sz w:val="20"/>
          <w:szCs w:val="20"/>
        </w:rPr>
        <w:t xml:space="preserve">domácích 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značek </w:t>
      </w: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t>Szentkirályi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>,</w:t>
      </w:r>
      <w:r w:rsidR="3D1D9729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B65B2CE">
        <w:rPr>
          <w:rFonts w:ascii="Century Gothic" w:eastAsia="Century Gothic" w:hAnsi="Century Gothic" w:cs="Century Gothic"/>
          <w:sz w:val="20"/>
          <w:szCs w:val="20"/>
        </w:rPr>
        <w:t>Theodora</w:t>
      </w:r>
      <w:r w:rsidR="172B7DB2" w:rsidRPr="0B65B2C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 w:rsidR="172B7DB2" w:rsidRPr="0B65B2CE">
        <w:rPr>
          <w:rFonts w:ascii="Century Gothic" w:eastAsia="Century Gothic" w:hAnsi="Century Gothic" w:cs="Century Gothic"/>
          <w:sz w:val="20"/>
          <w:szCs w:val="20"/>
        </w:rPr>
        <w:t>Emese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až po distribuované světové značky jako Pepsi, </w:t>
      </w: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t>Mirinda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, 7UP, </w:t>
      </w: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t>Gatorade</w:t>
      </w:r>
      <w:proofErr w:type="spellEnd"/>
      <w:r w:rsidR="0F88B109" w:rsidRPr="0B65B2C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 w:rsidR="0F88B109" w:rsidRPr="0B65B2CE">
        <w:rPr>
          <w:rFonts w:ascii="Century Gothic" w:eastAsia="Century Gothic" w:hAnsi="Century Gothic" w:cs="Century Gothic"/>
          <w:sz w:val="20"/>
          <w:szCs w:val="20"/>
        </w:rPr>
        <w:t>Schweppes</w:t>
      </w:r>
      <w:proofErr w:type="spellEnd"/>
      <w:r w:rsidR="0F88B109" w:rsidRPr="0B65B2C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 w:rsidR="39366A1E" w:rsidRPr="0B65B2CE">
        <w:rPr>
          <w:rFonts w:ascii="Century Gothic" w:eastAsia="Century Gothic" w:hAnsi="Century Gothic" w:cs="Century Gothic"/>
          <w:sz w:val="20"/>
          <w:szCs w:val="20"/>
        </w:rPr>
        <w:t>Lipton</w:t>
      </w:r>
      <w:proofErr w:type="spellEnd"/>
      <w:r w:rsidR="39366A1E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F88B109" w:rsidRPr="0B65B2CE">
        <w:rPr>
          <w:rFonts w:ascii="Century Gothic" w:eastAsia="Century Gothic" w:hAnsi="Century Gothic" w:cs="Century Gothic"/>
          <w:sz w:val="20"/>
          <w:szCs w:val="20"/>
        </w:rPr>
        <w:t>Nestle</w:t>
      </w:r>
      <w:proofErr w:type="spellEnd"/>
      <w:r w:rsidR="0F88B109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F88B109" w:rsidRPr="0B65B2CE">
        <w:rPr>
          <w:rFonts w:ascii="Century Gothic" w:eastAsia="Century Gothic" w:hAnsi="Century Gothic" w:cs="Century Gothic"/>
          <w:sz w:val="20"/>
          <w:szCs w:val="20"/>
        </w:rPr>
        <w:t>Aquarel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 či </w:t>
      </w:r>
      <w:proofErr w:type="spellStart"/>
      <w:r w:rsidRPr="0B65B2CE">
        <w:rPr>
          <w:rFonts w:ascii="Century Gothic" w:eastAsia="Century Gothic" w:hAnsi="Century Gothic" w:cs="Century Gothic"/>
          <w:sz w:val="20"/>
          <w:szCs w:val="20"/>
        </w:rPr>
        <w:t>Lay’s</w:t>
      </w:r>
      <w:proofErr w:type="spellEnd"/>
      <w:r w:rsidR="4750375F" w:rsidRPr="0B65B2CE">
        <w:rPr>
          <w:rFonts w:ascii="Century Gothic" w:eastAsia="Century Gothic" w:hAnsi="Century Gothic" w:cs="Century Gothic"/>
          <w:sz w:val="20"/>
          <w:szCs w:val="20"/>
        </w:rPr>
        <w:t xml:space="preserve"> a </w:t>
      </w:r>
      <w:proofErr w:type="spellStart"/>
      <w:r w:rsidR="4750375F" w:rsidRPr="0B65B2CE">
        <w:rPr>
          <w:rFonts w:ascii="Century Gothic" w:eastAsia="Century Gothic" w:hAnsi="Century Gothic" w:cs="Century Gothic"/>
          <w:sz w:val="20"/>
          <w:szCs w:val="20"/>
        </w:rPr>
        <w:t>Cheetos</w:t>
      </w:r>
      <w:proofErr w:type="spellEnd"/>
      <w:r w:rsidRPr="0B65B2C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4FE14E03" w:rsidRPr="0B65B2CE">
        <w:rPr>
          <w:rFonts w:ascii="Century Gothic" w:eastAsia="Century Gothic" w:hAnsi="Century Gothic" w:cs="Century Gothic"/>
          <w:sz w:val="20"/>
          <w:szCs w:val="20"/>
        </w:rPr>
        <w:t xml:space="preserve"> Společnost je součástí skupiny Mattoni 1873, </w:t>
      </w:r>
      <w:r w:rsidR="14D3C48B" w:rsidRPr="0B65B2CE">
        <w:rPr>
          <w:rFonts w:ascii="Century Gothic" w:eastAsia="Century Gothic" w:hAnsi="Century Gothic" w:cs="Century Gothic"/>
          <w:sz w:val="20"/>
          <w:szCs w:val="20"/>
        </w:rPr>
        <w:t>největšího</w:t>
      </w:r>
      <w:r w:rsidR="4FE14E03" w:rsidRPr="0B65B2CE">
        <w:rPr>
          <w:rFonts w:ascii="Century Gothic" w:eastAsia="Century Gothic" w:hAnsi="Century Gothic" w:cs="Century Gothic"/>
          <w:sz w:val="20"/>
          <w:szCs w:val="20"/>
        </w:rPr>
        <w:t xml:space="preserve"> středoevropského výrobce </w:t>
      </w:r>
      <w:r w:rsidR="45B80C44" w:rsidRPr="0B65B2CE">
        <w:rPr>
          <w:rFonts w:ascii="Century Gothic" w:eastAsia="Century Gothic" w:hAnsi="Century Gothic" w:cs="Century Gothic"/>
          <w:sz w:val="20"/>
          <w:szCs w:val="20"/>
        </w:rPr>
        <w:t xml:space="preserve">a distributora </w:t>
      </w:r>
      <w:r w:rsidR="4FE14E03" w:rsidRPr="0B65B2CE">
        <w:rPr>
          <w:rFonts w:ascii="Century Gothic" w:eastAsia="Century Gothic" w:hAnsi="Century Gothic" w:cs="Century Gothic"/>
          <w:sz w:val="20"/>
          <w:szCs w:val="20"/>
        </w:rPr>
        <w:t>minerálních vod a nealkoholických nápojů</w:t>
      </w:r>
      <w:r w:rsidR="1F66D7CD" w:rsidRPr="0B65B2CE">
        <w:rPr>
          <w:rFonts w:ascii="Century Gothic" w:eastAsia="Century Gothic" w:hAnsi="Century Gothic" w:cs="Century Gothic"/>
          <w:sz w:val="20"/>
          <w:szCs w:val="20"/>
        </w:rPr>
        <w:t>.</w:t>
      </w:r>
      <w:r w:rsidR="4FE14E03" w:rsidRPr="0B65B2CE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D1E25C0" w14:textId="2B572F0B" w:rsidR="0A080653" w:rsidRDefault="0A080653" w:rsidP="00611937">
      <w:pPr>
        <w:spacing w:before="240" w:after="120" w:line="278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O Mattoni 1873</w:t>
      </w:r>
    </w:p>
    <w:p w14:paraId="3C68C2E2" w14:textId="7EF3F807" w:rsidR="0A080653" w:rsidRDefault="10E9562C" w:rsidP="0B65B2CE">
      <w:pPr>
        <w:pStyle w:val="paragraph"/>
        <w:spacing w:beforeAutospacing="0" w:after="60" w:afterAutospacing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0B65B2C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Mattoni 1873, skupina kolem mateřské společnosti Mattoni 1873 a. s., je největším distributorem nealkoholických nápojů ve střední Evropě. </w:t>
      </w:r>
      <w:r w:rsidR="58E1B6CC" w:rsidRPr="0B65B2C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</w:t>
      </w:r>
      <w:r w:rsidR="4056439D" w:rsidRPr="0B65B2C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Mattoni 1873 je dlouhodobě úspěšná a respektovaná rodinná firma, která staví na skvělých značkách s dlouhou tradicí, a i přes svou velikost je stále věrná hodnotám, ze kterých vzešla. Posláním naší společnosti je přinášet lidem do života osvěžení.</w:t>
      </w:r>
    </w:p>
    <w:p w14:paraId="1A88A40E" w14:textId="199BFE58" w:rsidR="0A080653" w:rsidRDefault="0A080653" w:rsidP="6732AE15">
      <w:pPr>
        <w:pStyle w:val="paragraph"/>
        <w:spacing w:beforeAutospacing="0" w:after="60" w:afterAutospacing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Kořeny skupiny sahají do roku 1873, ke karlovarskému rodákovi Heinrichu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Mattonimu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. Novodobé kapitoly se začaly psát v 90. letech díky výrazným investicím nových majitelů, italské rodiny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Pasquale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.</w:t>
      </w:r>
    </w:p>
    <w:p w14:paraId="2CEB903F" w14:textId="702FF662" w:rsidR="0A080653" w:rsidRDefault="0A080653" w:rsidP="6732AE15">
      <w:pPr>
        <w:pStyle w:val="paragraph"/>
        <w:spacing w:beforeAutospacing="0" w:after="60" w:afterAutospacing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V ČR vyrábí skupina vedle tradiční minerální vody Mattoni také pramenitou vodu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Aquila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a minerální vody Magnesia, Poděbradka, Dobrá voda a Hanácká Kyselka; dále značky nealkoholických nápojů Pepsi,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Mirinda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7UP,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Schweppes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Gatorade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Mountain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Dew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a další. Distribuuje také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snacky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značky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Lay’s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. V partnerské spolupráci s Budějovickým Budvarem vyrábí ochucené nealkoholické pivo </w:t>
      </w:r>
      <w:proofErr w:type="spellStart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BirGo</w:t>
      </w:r>
      <w:proofErr w:type="spellEnd"/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.</w:t>
      </w:r>
    </w:p>
    <w:p w14:paraId="7FD47B43" w14:textId="047797E3" w:rsidR="0A080653" w:rsidRDefault="0A080653" w:rsidP="6732AE15">
      <w:pPr>
        <w:pStyle w:val="paragraph"/>
        <w:spacing w:beforeAutospacing="0" w:after="60" w:afterAutospacing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Své produkty v současné době Mattoni 1873 vyváží do téměř 20 zemí světa a jako mateřská společnost vlastní zahraniční značky minerálních vod v Rakousku, Maďarsku a Srbsku. V Rakousku, Bulharsku, Slovensku, Maďarsku, Srbsku, Černé Hoře a Bosně a Hercegovině je Mattoni 1873 výhradním výrobcem a distributorem nealkoholických nápojů značek firmy PepsiCo. Ve všech zemích, kde skupina operuje, zaměstnává na 3 650 zaměstnanců.</w:t>
      </w:r>
    </w:p>
    <w:p w14:paraId="5EEB7FB3" w14:textId="2572C394" w:rsidR="0A080653" w:rsidRDefault="0A080653" w:rsidP="6732AE15">
      <w:pPr>
        <w:pStyle w:val="paragraph"/>
        <w:spacing w:beforeAutospacing="0" w:after="60" w:afterAutospacing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profilech Mattoni 1873 na sociálních sítích </w:t>
      </w:r>
      <w:hyperlink r:id="rId10">
        <w:r w:rsidRPr="6732AE15">
          <w:rPr>
            <w:rStyle w:val="Hypertextovodkaz"/>
            <w:rFonts w:ascii="Century Gothic" w:eastAsia="Century Gothic" w:hAnsi="Century Gothic" w:cs="Century Gothic"/>
            <w:sz w:val="18"/>
            <w:szCs w:val="18"/>
          </w:rPr>
          <w:t>LinkedIn</w:t>
        </w:r>
      </w:hyperlink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, </w:t>
      </w:r>
      <w:hyperlink r:id="rId11">
        <w:r w:rsidRPr="6732AE15">
          <w:rPr>
            <w:rStyle w:val="Hypertextovodkaz"/>
            <w:rFonts w:ascii="Century Gothic" w:eastAsia="Century Gothic" w:hAnsi="Century Gothic" w:cs="Century Gothic"/>
            <w:sz w:val="18"/>
            <w:szCs w:val="18"/>
          </w:rPr>
          <w:t>X</w:t>
        </w:r>
      </w:hyperlink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a </w:t>
      </w:r>
      <w:hyperlink r:id="rId12">
        <w:r w:rsidRPr="6732AE15">
          <w:rPr>
            <w:rStyle w:val="Hypertextovodkaz"/>
            <w:rFonts w:ascii="Century Gothic" w:eastAsia="Century Gothic" w:hAnsi="Century Gothic" w:cs="Century Gothic"/>
            <w:sz w:val="18"/>
            <w:szCs w:val="18"/>
          </w:rPr>
          <w:t>Facebook</w:t>
        </w:r>
      </w:hyperlink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.</w:t>
      </w:r>
    </w:p>
    <w:p w14:paraId="13808C49" w14:textId="286FEC70" w:rsidR="6732AE15" w:rsidRDefault="6732AE15" w:rsidP="6732AE15">
      <w:pPr>
        <w:spacing w:after="6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17E94FEE" w14:textId="5C09D645" w:rsidR="0A080653" w:rsidRDefault="0A080653" w:rsidP="6732AE15">
      <w:pPr>
        <w:pStyle w:val="paragraph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Kontakt pro média</w:t>
      </w:r>
    </w:p>
    <w:p w14:paraId="1388D049" w14:textId="2101C911" w:rsidR="0A080653" w:rsidRDefault="0A080653" w:rsidP="6732AE15">
      <w:pPr>
        <w:spacing w:after="0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Lutfia Miňovská, PR manažer</w:t>
      </w:r>
      <w:r>
        <w:br/>
      </w: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Mattoni 1873</w:t>
      </w:r>
    </w:p>
    <w:p w14:paraId="3EB62D9B" w14:textId="40AA31CE" w:rsidR="0A080653" w:rsidRDefault="0A080653" w:rsidP="6732AE15">
      <w:pPr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Telefon: 607 602 328</w:t>
      </w:r>
      <w:r>
        <w:br/>
      </w:r>
      <w:r w:rsidRPr="6732AE15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E-mail: </w:t>
      </w:r>
      <w:hyperlink r:id="rId13" w:history="1">
        <w:r w:rsidR="00382BD5" w:rsidRPr="00707D6C">
          <w:rPr>
            <w:rStyle w:val="Hypertextovodkaz"/>
            <w:rFonts w:ascii="Century Gothic" w:eastAsia="Century Gothic" w:hAnsi="Century Gothic" w:cs="Century Gothic"/>
            <w:sz w:val="18"/>
            <w:szCs w:val="18"/>
            <w:lang w:val="cs"/>
          </w:rPr>
          <w:t>lutfia.minovska@mattoni.cz</w:t>
        </w:r>
      </w:hyperlink>
    </w:p>
    <w:p w14:paraId="5FB0F3EC" w14:textId="669108E8" w:rsidR="6732AE15" w:rsidRDefault="6732AE15" w:rsidP="6732AE15">
      <w:pPr>
        <w:spacing w:after="6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6"/>
          <w:szCs w:val="16"/>
        </w:rPr>
      </w:pPr>
    </w:p>
    <w:sectPr w:rsidR="6732AE1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F841" w14:textId="77777777" w:rsidR="00104F71" w:rsidRDefault="00104F71">
      <w:pPr>
        <w:spacing w:after="0" w:line="240" w:lineRule="auto"/>
      </w:pPr>
      <w:r>
        <w:separator/>
      </w:r>
    </w:p>
  </w:endnote>
  <w:endnote w:type="continuationSeparator" w:id="0">
    <w:p w14:paraId="17CFB94F" w14:textId="77777777" w:rsidR="00104F71" w:rsidRDefault="0010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32AE15" w14:paraId="23092818" w14:textId="77777777" w:rsidTr="6732AE15">
      <w:trPr>
        <w:trHeight w:val="300"/>
      </w:trPr>
      <w:tc>
        <w:tcPr>
          <w:tcW w:w="3005" w:type="dxa"/>
        </w:tcPr>
        <w:p w14:paraId="2D7FBD69" w14:textId="7778E0F2" w:rsidR="6732AE15" w:rsidRDefault="6732AE15" w:rsidP="6732AE15">
          <w:pPr>
            <w:pStyle w:val="Zhlav"/>
            <w:ind w:left="-115"/>
          </w:pPr>
        </w:p>
      </w:tc>
      <w:tc>
        <w:tcPr>
          <w:tcW w:w="3005" w:type="dxa"/>
        </w:tcPr>
        <w:p w14:paraId="1956F489" w14:textId="6D9E6DBD" w:rsidR="6732AE15" w:rsidRDefault="6732AE15" w:rsidP="6732AE15">
          <w:pPr>
            <w:pStyle w:val="Zhlav"/>
            <w:jc w:val="center"/>
          </w:pPr>
        </w:p>
      </w:tc>
      <w:tc>
        <w:tcPr>
          <w:tcW w:w="3005" w:type="dxa"/>
        </w:tcPr>
        <w:p w14:paraId="240A306E" w14:textId="716CDF54" w:rsidR="6732AE15" w:rsidRDefault="6732AE15" w:rsidP="6732AE15">
          <w:pPr>
            <w:pStyle w:val="Zhlav"/>
            <w:ind w:right="-115"/>
            <w:jc w:val="right"/>
          </w:pPr>
        </w:p>
      </w:tc>
    </w:tr>
  </w:tbl>
  <w:p w14:paraId="5C63020E" w14:textId="278D31A4" w:rsidR="6732AE15" w:rsidRDefault="6732AE15" w:rsidP="6732A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C5F8" w14:textId="77777777" w:rsidR="00104F71" w:rsidRDefault="00104F71">
      <w:pPr>
        <w:spacing w:after="0" w:line="240" w:lineRule="auto"/>
      </w:pPr>
      <w:r>
        <w:separator/>
      </w:r>
    </w:p>
  </w:footnote>
  <w:footnote w:type="continuationSeparator" w:id="0">
    <w:p w14:paraId="0CE3CE65" w14:textId="77777777" w:rsidR="00104F71" w:rsidRDefault="0010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32AE15" w14:paraId="0A1058EC" w14:textId="77777777" w:rsidTr="0EF3A9BE">
      <w:trPr>
        <w:trHeight w:val="300"/>
        <w:jc w:val="center"/>
      </w:trPr>
      <w:tc>
        <w:tcPr>
          <w:tcW w:w="3005" w:type="dxa"/>
          <w:vAlign w:val="center"/>
        </w:tcPr>
        <w:p w14:paraId="5271A568" w14:textId="2F71E5C3" w:rsidR="6732AE15" w:rsidRDefault="0EF3A9BE" w:rsidP="0EF3A9BE">
          <w:pPr>
            <w:ind w:left="-115"/>
            <w:jc w:val="center"/>
          </w:pPr>
          <w:r>
            <w:rPr>
              <w:noProof/>
            </w:rPr>
            <w:drawing>
              <wp:inline distT="0" distB="0" distL="0" distR="0" wp14:anchorId="519F3429" wp14:editId="2B9B4B77">
                <wp:extent cx="1771650" cy="495300"/>
                <wp:effectExtent l="0" t="0" r="0" b="0"/>
                <wp:docPr id="320165528" name="Obrázek 714723287" descr="Obrázek 2, Obrá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1472328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0232BB40" w14:textId="5B87F9C4" w:rsidR="6732AE15" w:rsidRDefault="6732AE15" w:rsidP="6732AE15">
          <w:pPr>
            <w:jc w:val="center"/>
          </w:pPr>
          <w:r>
            <w:br/>
          </w:r>
          <w:r w:rsidR="0EF3A9BE">
            <w:rPr>
              <w:noProof/>
            </w:rPr>
            <w:drawing>
              <wp:inline distT="0" distB="0" distL="0" distR="0" wp14:anchorId="0B7F4473" wp14:editId="338429A1">
                <wp:extent cx="1543050" cy="1076325"/>
                <wp:effectExtent l="0" t="0" r="0" b="0"/>
                <wp:docPr id="789808164" name="Obrázek 789808164" descr="Obrázek 4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492B8D1" w14:textId="47A3D579" w:rsidR="6732AE15" w:rsidRDefault="0EF3A9BE" w:rsidP="0EF3A9BE">
          <w:pPr>
            <w:ind w:right="-115"/>
            <w:jc w:val="center"/>
          </w:pPr>
          <w:r>
            <w:rPr>
              <w:noProof/>
            </w:rPr>
            <w:drawing>
              <wp:inline distT="0" distB="0" distL="0" distR="0" wp14:anchorId="2B13C571" wp14:editId="6F9B385A">
                <wp:extent cx="1771650" cy="704850"/>
                <wp:effectExtent l="0" t="0" r="0" b="0"/>
                <wp:docPr id="1694634988" name="Obrázek 1694634988" descr="Szentkirályi Magyarország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6732AE15">
            <w:br/>
          </w:r>
        </w:p>
      </w:tc>
    </w:tr>
  </w:tbl>
  <w:p w14:paraId="2796DC95" w14:textId="1544D350" w:rsidR="6732AE15" w:rsidRDefault="6732AE15" w:rsidP="6732AE15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Wybf04e393I+Q" int2:id="Drzh0vYx">
      <int2:state int2:value="Rejected" int2:type="AugLoop_Text_Critique"/>
    </int2:textHash>
    <int2:textHash int2:hashCode="0Sh9qotB3i7pnu" int2:id="WAngSem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3254"/>
    <w:multiLevelType w:val="hybridMultilevel"/>
    <w:tmpl w:val="D21615F6"/>
    <w:lvl w:ilvl="0" w:tplc="06D8F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CD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C2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29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EB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08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6D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2E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2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75BD"/>
    <w:multiLevelType w:val="hybridMultilevel"/>
    <w:tmpl w:val="3B4A0684"/>
    <w:lvl w:ilvl="0" w:tplc="5360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EA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E6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3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2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C0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6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82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4057"/>
    <w:multiLevelType w:val="hybridMultilevel"/>
    <w:tmpl w:val="787CC97C"/>
    <w:lvl w:ilvl="0" w:tplc="2386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3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E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46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42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E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80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0C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8F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A46B"/>
    <w:multiLevelType w:val="hybridMultilevel"/>
    <w:tmpl w:val="93467AE4"/>
    <w:lvl w:ilvl="0" w:tplc="E020C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6E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69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B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6A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24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AE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E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6BAD0"/>
    <w:multiLevelType w:val="hybridMultilevel"/>
    <w:tmpl w:val="8EA24590"/>
    <w:lvl w:ilvl="0" w:tplc="241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B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0E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A5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0B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6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2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6607"/>
    <w:multiLevelType w:val="hybridMultilevel"/>
    <w:tmpl w:val="75B41094"/>
    <w:lvl w:ilvl="0" w:tplc="4D08C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EC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CD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20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24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A0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C6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61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E8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3F59D"/>
    <w:multiLevelType w:val="hybridMultilevel"/>
    <w:tmpl w:val="9B94F2DC"/>
    <w:lvl w:ilvl="0" w:tplc="6F162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2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EC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E2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4B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C1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4A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4D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6F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5017C"/>
    <w:multiLevelType w:val="hybridMultilevel"/>
    <w:tmpl w:val="7586F098"/>
    <w:lvl w:ilvl="0" w:tplc="97F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2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05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2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F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C9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F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8F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1731">
    <w:abstractNumId w:val="7"/>
  </w:num>
  <w:num w:numId="2" w16cid:durableId="980421534">
    <w:abstractNumId w:val="1"/>
  </w:num>
  <w:num w:numId="3" w16cid:durableId="47270888">
    <w:abstractNumId w:val="2"/>
  </w:num>
  <w:num w:numId="4" w16cid:durableId="2005233328">
    <w:abstractNumId w:val="4"/>
  </w:num>
  <w:num w:numId="5" w16cid:durableId="908005836">
    <w:abstractNumId w:val="3"/>
  </w:num>
  <w:num w:numId="6" w16cid:durableId="1796367877">
    <w:abstractNumId w:val="0"/>
  </w:num>
  <w:num w:numId="7" w16cid:durableId="1131827351">
    <w:abstractNumId w:val="6"/>
  </w:num>
  <w:num w:numId="8" w16cid:durableId="85228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28EFA3"/>
    <w:rsid w:val="00104F71"/>
    <w:rsid w:val="001E0097"/>
    <w:rsid w:val="00382BD5"/>
    <w:rsid w:val="005F47B2"/>
    <w:rsid w:val="00611937"/>
    <w:rsid w:val="006F396C"/>
    <w:rsid w:val="0073C6BB"/>
    <w:rsid w:val="00AE60BF"/>
    <w:rsid w:val="00BD0CA3"/>
    <w:rsid w:val="00D0D2AF"/>
    <w:rsid w:val="00FA4E1C"/>
    <w:rsid w:val="02096425"/>
    <w:rsid w:val="0223D8F1"/>
    <w:rsid w:val="0282CA96"/>
    <w:rsid w:val="02A2FC41"/>
    <w:rsid w:val="02C29C8D"/>
    <w:rsid w:val="02E202EB"/>
    <w:rsid w:val="03746B61"/>
    <w:rsid w:val="03CC36B2"/>
    <w:rsid w:val="04A4C42A"/>
    <w:rsid w:val="04B77103"/>
    <w:rsid w:val="04FF95FC"/>
    <w:rsid w:val="05C7C89A"/>
    <w:rsid w:val="05D9660B"/>
    <w:rsid w:val="06B8B90D"/>
    <w:rsid w:val="0731372C"/>
    <w:rsid w:val="07D4B652"/>
    <w:rsid w:val="07E4A1EC"/>
    <w:rsid w:val="08368A13"/>
    <w:rsid w:val="086959F1"/>
    <w:rsid w:val="08A81BA7"/>
    <w:rsid w:val="08E54098"/>
    <w:rsid w:val="092C8EED"/>
    <w:rsid w:val="09337777"/>
    <w:rsid w:val="095E8D47"/>
    <w:rsid w:val="09E04A18"/>
    <w:rsid w:val="0A080653"/>
    <w:rsid w:val="0A5AE8D0"/>
    <w:rsid w:val="0A789D2B"/>
    <w:rsid w:val="0A974C13"/>
    <w:rsid w:val="0AEF9589"/>
    <w:rsid w:val="0B65B2CE"/>
    <w:rsid w:val="0BAB2204"/>
    <w:rsid w:val="0C20F22E"/>
    <w:rsid w:val="0C5D10DC"/>
    <w:rsid w:val="0C866D6B"/>
    <w:rsid w:val="0C98902D"/>
    <w:rsid w:val="0E56404A"/>
    <w:rsid w:val="0E98281D"/>
    <w:rsid w:val="0EF3A9BE"/>
    <w:rsid w:val="0EFADA4F"/>
    <w:rsid w:val="0F88B109"/>
    <w:rsid w:val="103C957F"/>
    <w:rsid w:val="10E9562C"/>
    <w:rsid w:val="10EC7A23"/>
    <w:rsid w:val="117A9AC8"/>
    <w:rsid w:val="126E1A66"/>
    <w:rsid w:val="128A4906"/>
    <w:rsid w:val="1327EF37"/>
    <w:rsid w:val="1343B429"/>
    <w:rsid w:val="1397047F"/>
    <w:rsid w:val="14D07C40"/>
    <w:rsid w:val="14D3C48B"/>
    <w:rsid w:val="150C54FE"/>
    <w:rsid w:val="155526BD"/>
    <w:rsid w:val="159B282B"/>
    <w:rsid w:val="15EEE004"/>
    <w:rsid w:val="16278C34"/>
    <w:rsid w:val="16BD5CA8"/>
    <w:rsid w:val="172B7DB2"/>
    <w:rsid w:val="177B291E"/>
    <w:rsid w:val="1786393A"/>
    <w:rsid w:val="179C2BE2"/>
    <w:rsid w:val="17FA7E67"/>
    <w:rsid w:val="181CCBBD"/>
    <w:rsid w:val="184D49A2"/>
    <w:rsid w:val="187615B7"/>
    <w:rsid w:val="18B64202"/>
    <w:rsid w:val="18E79085"/>
    <w:rsid w:val="19A04A73"/>
    <w:rsid w:val="19C69503"/>
    <w:rsid w:val="1A5023A4"/>
    <w:rsid w:val="1A8F0108"/>
    <w:rsid w:val="1B161C05"/>
    <w:rsid w:val="1B19B2A6"/>
    <w:rsid w:val="1B3D3319"/>
    <w:rsid w:val="1B7DA48F"/>
    <w:rsid w:val="1B8E8EC7"/>
    <w:rsid w:val="1BAA2406"/>
    <w:rsid w:val="1BBA8D32"/>
    <w:rsid w:val="1C056B6D"/>
    <w:rsid w:val="1C2C5806"/>
    <w:rsid w:val="1C42C175"/>
    <w:rsid w:val="1D455EA6"/>
    <w:rsid w:val="1D8BF3F5"/>
    <w:rsid w:val="1DA5795D"/>
    <w:rsid w:val="1DFBB938"/>
    <w:rsid w:val="1E7D592E"/>
    <w:rsid w:val="1ECF5764"/>
    <w:rsid w:val="1F66D7CD"/>
    <w:rsid w:val="1F8ACF87"/>
    <w:rsid w:val="1FA9E11D"/>
    <w:rsid w:val="1FCDE79A"/>
    <w:rsid w:val="2026F87F"/>
    <w:rsid w:val="2038EA88"/>
    <w:rsid w:val="20841322"/>
    <w:rsid w:val="20ACF0DC"/>
    <w:rsid w:val="20EBE453"/>
    <w:rsid w:val="21565D97"/>
    <w:rsid w:val="217A8A6A"/>
    <w:rsid w:val="21C275E1"/>
    <w:rsid w:val="2292A224"/>
    <w:rsid w:val="23683385"/>
    <w:rsid w:val="23DFA389"/>
    <w:rsid w:val="2515D33D"/>
    <w:rsid w:val="255A29F9"/>
    <w:rsid w:val="255AADA6"/>
    <w:rsid w:val="256BCE2C"/>
    <w:rsid w:val="259E8E9D"/>
    <w:rsid w:val="25C9EC36"/>
    <w:rsid w:val="27A3A620"/>
    <w:rsid w:val="287D4763"/>
    <w:rsid w:val="29DD5EA4"/>
    <w:rsid w:val="2A3185B1"/>
    <w:rsid w:val="2BA70F1D"/>
    <w:rsid w:val="2C372337"/>
    <w:rsid w:val="2C615473"/>
    <w:rsid w:val="2CF6D893"/>
    <w:rsid w:val="2D45BD0C"/>
    <w:rsid w:val="2D4DE0F4"/>
    <w:rsid w:val="2D826019"/>
    <w:rsid w:val="2D93D884"/>
    <w:rsid w:val="2DB0020D"/>
    <w:rsid w:val="2E0C2D1C"/>
    <w:rsid w:val="2E10F0D0"/>
    <w:rsid w:val="2F077583"/>
    <w:rsid w:val="2F6FBAF3"/>
    <w:rsid w:val="2FB19E81"/>
    <w:rsid w:val="30294604"/>
    <w:rsid w:val="30842FF1"/>
    <w:rsid w:val="311ABDA9"/>
    <w:rsid w:val="319280FF"/>
    <w:rsid w:val="31E6C535"/>
    <w:rsid w:val="32223795"/>
    <w:rsid w:val="3228A6F9"/>
    <w:rsid w:val="3272CA2D"/>
    <w:rsid w:val="329061C4"/>
    <w:rsid w:val="3381835D"/>
    <w:rsid w:val="33CD5DA5"/>
    <w:rsid w:val="33F71A3F"/>
    <w:rsid w:val="34A7126E"/>
    <w:rsid w:val="34F0BF30"/>
    <w:rsid w:val="3503B32B"/>
    <w:rsid w:val="3547AF40"/>
    <w:rsid w:val="359673CE"/>
    <w:rsid w:val="35EC8090"/>
    <w:rsid w:val="3617A958"/>
    <w:rsid w:val="36AF8163"/>
    <w:rsid w:val="37295B4E"/>
    <w:rsid w:val="37BF6E86"/>
    <w:rsid w:val="3823FC3D"/>
    <w:rsid w:val="38483AFD"/>
    <w:rsid w:val="3856A455"/>
    <w:rsid w:val="38B8E556"/>
    <w:rsid w:val="393203D4"/>
    <w:rsid w:val="39366A1E"/>
    <w:rsid w:val="3A083220"/>
    <w:rsid w:val="3A1C3D49"/>
    <w:rsid w:val="3A2FA1B9"/>
    <w:rsid w:val="3A499D75"/>
    <w:rsid w:val="3A74722A"/>
    <w:rsid w:val="3AAC39CB"/>
    <w:rsid w:val="3B6580FD"/>
    <w:rsid w:val="3BD1E994"/>
    <w:rsid w:val="3C0390C8"/>
    <w:rsid w:val="3C63F6C4"/>
    <w:rsid w:val="3C658A45"/>
    <w:rsid w:val="3C9D15CF"/>
    <w:rsid w:val="3CD802D6"/>
    <w:rsid w:val="3D1D9729"/>
    <w:rsid w:val="3D61641A"/>
    <w:rsid w:val="3E01F001"/>
    <w:rsid w:val="3E71E2DF"/>
    <w:rsid w:val="3E94CE09"/>
    <w:rsid w:val="3EB5B685"/>
    <w:rsid w:val="3ECE5567"/>
    <w:rsid w:val="3FC67AE1"/>
    <w:rsid w:val="3FE8994B"/>
    <w:rsid w:val="40069702"/>
    <w:rsid w:val="4056439D"/>
    <w:rsid w:val="408A6890"/>
    <w:rsid w:val="40E43473"/>
    <w:rsid w:val="4111B9E7"/>
    <w:rsid w:val="4185621C"/>
    <w:rsid w:val="41AE29D8"/>
    <w:rsid w:val="42216C79"/>
    <w:rsid w:val="42BF24CD"/>
    <w:rsid w:val="42C007B2"/>
    <w:rsid w:val="42DD229C"/>
    <w:rsid w:val="42E65C45"/>
    <w:rsid w:val="44CA6ED1"/>
    <w:rsid w:val="45233099"/>
    <w:rsid w:val="458F3E6D"/>
    <w:rsid w:val="45B80C44"/>
    <w:rsid w:val="461EFCF5"/>
    <w:rsid w:val="463133C7"/>
    <w:rsid w:val="464A5D0B"/>
    <w:rsid w:val="465BB6E5"/>
    <w:rsid w:val="4750375F"/>
    <w:rsid w:val="477C71D1"/>
    <w:rsid w:val="479F4874"/>
    <w:rsid w:val="47F756AE"/>
    <w:rsid w:val="481455F2"/>
    <w:rsid w:val="4915E596"/>
    <w:rsid w:val="495E2ADF"/>
    <w:rsid w:val="4A1266B6"/>
    <w:rsid w:val="4A86336F"/>
    <w:rsid w:val="4B689CCD"/>
    <w:rsid w:val="4BC80C48"/>
    <w:rsid w:val="4BD43695"/>
    <w:rsid w:val="4BFBF9BA"/>
    <w:rsid w:val="4C5269C4"/>
    <w:rsid w:val="4CA8B509"/>
    <w:rsid w:val="4DB8943F"/>
    <w:rsid w:val="4E5EEC33"/>
    <w:rsid w:val="4F01BC4C"/>
    <w:rsid w:val="4FBA6C8C"/>
    <w:rsid w:val="4FE14E03"/>
    <w:rsid w:val="502D5655"/>
    <w:rsid w:val="5065B541"/>
    <w:rsid w:val="51629BA7"/>
    <w:rsid w:val="517A5949"/>
    <w:rsid w:val="51E96830"/>
    <w:rsid w:val="530B70D9"/>
    <w:rsid w:val="533890BF"/>
    <w:rsid w:val="5351D1CC"/>
    <w:rsid w:val="543863FD"/>
    <w:rsid w:val="5469827C"/>
    <w:rsid w:val="5571CA53"/>
    <w:rsid w:val="559FDDC3"/>
    <w:rsid w:val="55C18F6E"/>
    <w:rsid w:val="55F243F9"/>
    <w:rsid w:val="5625E2C2"/>
    <w:rsid w:val="56693DB9"/>
    <w:rsid w:val="56AFA002"/>
    <w:rsid w:val="574A6251"/>
    <w:rsid w:val="576D0696"/>
    <w:rsid w:val="57F12EF3"/>
    <w:rsid w:val="58019D4C"/>
    <w:rsid w:val="587870BA"/>
    <w:rsid w:val="5896FC66"/>
    <w:rsid w:val="58E1B6CC"/>
    <w:rsid w:val="5A77BE50"/>
    <w:rsid w:val="5AC38709"/>
    <w:rsid w:val="5AF762FD"/>
    <w:rsid w:val="5BF847A2"/>
    <w:rsid w:val="5BFDB1CE"/>
    <w:rsid w:val="5C4E16B9"/>
    <w:rsid w:val="5C7F2015"/>
    <w:rsid w:val="5D94363A"/>
    <w:rsid w:val="5E38530E"/>
    <w:rsid w:val="5E5C1310"/>
    <w:rsid w:val="5E65623E"/>
    <w:rsid w:val="5E719A25"/>
    <w:rsid w:val="5E89C30A"/>
    <w:rsid w:val="5EB21699"/>
    <w:rsid w:val="5F90384E"/>
    <w:rsid w:val="5FBA95AD"/>
    <w:rsid w:val="5FF9D9EF"/>
    <w:rsid w:val="607FF961"/>
    <w:rsid w:val="61144D3C"/>
    <w:rsid w:val="61650F96"/>
    <w:rsid w:val="6292A4ED"/>
    <w:rsid w:val="63CD345D"/>
    <w:rsid w:val="649C07F9"/>
    <w:rsid w:val="6525B2D7"/>
    <w:rsid w:val="6529FC59"/>
    <w:rsid w:val="65CD2178"/>
    <w:rsid w:val="6601E72A"/>
    <w:rsid w:val="661C9DEC"/>
    <w:rsid w:val="66C34875"/>
    <w:rsid w:val="6732AE15"/>
    <w:rsid w:val="675CA44A"/>
    <w:rsid w:val="67665577"/>
    <w:rsid w:val="678E0D58"/>
    <w:rsid w:val="6A0F84CD"/>
    <w:rsid w:val="6A139C1D"/>
    <w:rsid w:val="6A2BB8C0"/>
    <w:rsid w:val="6A596BDB"/>
    <w:rsid w:val="6AC8E12A"/>
    <w:rsid w:val="6AD8CE9E"/>
    <w:rsid w:val="6AF496A6"/>
    <w:rsid w:val="6C28EFA3"/>
    <w:rsid w:val="6C6E91C4"/>
    <w:rsid w:val="6D2781C5"/>
    <w:rsid w:val="6D3C8AF7"/>
    <w:rsid w:val="6EE122FD"/>
    <w:rsid w:val="6EE554DA"/>
    <w:rsid w:val="6EE96FA1"/>
    <w:rsid w:val="6FBDEB16"/>
    <w:rsid w:val="6FE3054F"/>
    <w:rsid w:val="7040059A"/>
    <w:rsid w:val="704DD936"/>
    <w:rsid w:val="7078D279"/>
    <w:rsid w:val="7115E73C"/>
    <w:rsid w:val="717AFA2F"/>
    <w:rsid w:val="7200A64B"/>
    <w:rsid w:val="725AAF02"/>
    <w:rsid w:val="727C9234"/>
    <w:rsid w:val="7282FA8A"/>
    <w:rsid w:val="72A610F2"/>
    <w:rsid w:val="72ADD71D"/>
    <w:rsid w:val="730E3B4B"/>
    <w:rsid w:val="731AC2DD"/>
    <w:rsid w:val="7338C0BA"/>
    <w:rsid w:val="73A7A457"/>
    <w:rsid w:val="73F670EB"/>
    <w:rsid w:val="7431752F"/>
    <w:rsid w:val="74AF313E"/>
    <w:rsid w:val="757C9536"/>
    <w:rsid w:val="75ADA322"/>
    <w:rsid w:val="75DFF02C"/>
    <w:rsid w:val="76E253A6"/>
    <w:rsid w:val="7776264A"/>
    <w:rsid w:val="77800790"/>
    <w:rsid w:val="778DAFCF"/>
    <w:rsid w:val="778DFFA7"/>
    <w:rsid w:val="7853FE00"/>
    <w:rsid w:val="787A2FCE"/>
    <w:rsid w:val="78A98302"/>
    <w:rsid w:val="78EFC72B"/>
    <w:rsid w:val="791D6A1F"/>
    <w:rsid w:val="79644757"/>
    <w:rsid w:val="79CCE047"/>
    <w:rsid w:val="7A56A23D"/>
    <w:rsid w:val="7A6E98A0"/>
    <w:rsid w:val="7AD93437"/>
    <w:rsid w:val="7B058F67"/>
    <w:rsid w:val="7C06C8A1"/>
    <w:rsid w:val="7C60BB7C"/>
    <w:rsid w:val="7CB469F2"/>
    <w:rsid w:val="7CB7F036"/>
    <w:rsid w:val="7CFFE67A"/>
    <w:rsid w:val="7D0C5A2E"/>
    <w:rsid w:val="7D0E1F75"/>
    <w:rsid w:val="7DB057A3"/>
    <w:rsid w:val="7DE9BE12"/>
    <w:rsid w:val="7E30F2AB"/>
    <w:rsid w:val="7E8F1308"/>
    <w:rsid w:val="7EDD9712"/>
    <w:rsid w:val="7F1A6350"/>
    <w:rsid w:val="7F5A5407"/>
    <w:rsid w:val="7FEE537C"/>
    <w:rsid w:val="7FF38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FA3"/>
  <w15:chartTrackingRefBased/>
  <w15:docId w15:val="{FB00BAF3-6953-4DCF-A0FA-F0A19AB3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uiPriority w:val="9"/>
    <w:unhideWhenUsed/>
    <w:qFormat/>
    <w:rsid w:val="6732AE15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14D07C40"/>
    <w:pPr>
      <w:ind w:left="720"/>
      <w:contextualSpacing/>
    </w:pPr>
  </w:style>
  <w:style w:type="paragraph" w:customStyle="1" w:styleId="paragraph">
    <w:name w:val="paragraph"/>
    <w:basedOn w:val="Normln"/>
    <w:uiPriority w:val="1"/>
    <w:rsid w:val="6732AE15"/>
    <w:pPr>
      <w:spacing w:beforeAutospacing="1" w:afterAutospacing="1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6732AE15"/>
    <w:rPr>
      <w:color w:val="467886"/>
      <w:u w:val="single"/>
    </w:rPr>
  </w:style>
  <w:style w:type="paragraph" w:styleId="Zhlav">
    <w:name w:val="header"/>
    <w:basedOn w:val="Normln"/>
    <w:uiPriority w:val="99"/>
    <w:unhideWhenUsed/>
    <w:rsid w:val="6732AE15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6732AE15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82BD5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61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utfia.minovska@mattoni.cz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attoni187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.com/Mattoni187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company/mattoni-1873/posts/?feedView=a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6a862-eec9-40ed-8724-31d63d553c23">
      <Terms xmlns="http://schemas.microsoft.com/office/infopath/2007/PartnerControls"/>
    </lcf76f155ced4ddcb4097134ff3c332f>
    <TaxCatchAll xmlns="e6362e2b-0fc5-428e-89ea-7bb32bafef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70957280D4F893F53AF1A7262A2" ma:contentTypeVersion="12" ma:contentTypeDescription="Create a new document." ma:contentTypeScope="" ma:versionID="48674d83f0cee3daba6452dff92aeb70">
  <xsd:schema xmlns:xsd="http://www.w3.org/2001/XMLSchema" xmlns:xs="http://www.w3.org/2001/XMLSchema" xmlns:p="http://schemas.microsoft.com/office/2006/metadata/properties" xmlns:ns2="b956a862-eec9-40ed-8724-31d63d553c23" xmlns:ns3="e6362e2b-0fc5-428e-89ea-7bb32bafefb6" targetNamespace="http://schemas.microsoft.com/office/2006/metadata/properties" ma:root="true" ma:fieldsID="aab489a71f36f2ba33828e1d6d93c2f2" ns2:_="" ns3:_="">
    <xsd:import namespace="b956a862-eec9-40ed-8724-31d63d553c23"/>
    <xsd:import namespace="e6362e2b-0fc5-428e-89ea-7bb32bafef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a862-eec9-40ed-8724-31d63d553c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96e09-3a53-49b7-8f2c-ee71453f4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2e2b-0fc5-428e-89ea-7bb32bafef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39efa2-0679-4de6-8a88-364c9ddc86ca}" ma:internalName="TaxCatchAll" ma:showField="CatchAllData" ma:web="e6362e2b-0fc5-428e-89ea-7bb32bafe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36A52-E273-4054-A57D-56CFFF8BF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943E1-F7C6-4ED5-A397-061E1C0050F6}">
  <ds:schemaRefs>
    <ds:schemaRef ds:uri="http://schemas.microsoft.com/office/2006/metadata/properties"/>
    <ds:schemaRef ds:uri="http://schemas.microsoft.com/office/infopath/2007/PartnerControls"/>
    <ds:schemaRef ds:uri="b956a862-eec9-40ed-8724-31d63d553c23"/>
    <ds:schemaRef ds:uri="e6362e2b-0fc5-428e-89ea-7bb32bafefb6"/>
  </ds:schemaRefs>
</ds:datastoreItem>
</file>

<file path=customXml/itemProps3.xml><?xml version="1.0" encoding="utf-8"?>
<ds:datastoreItem xmlns:ds="http://schemas.openxmlformats.org/officeDocument/2006/customXml" ds:itemID="{07F86CB8-1CD8-42A3-B19A-0214E61F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6a862-eec9-40ed-8724-31d63d553c23"/>
    <ds:schemaRef ds:uri="e6362e2b-0fc5-428e-89ea-7bb32bafe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Matulová Monika</dc:creator>
  <cp:keywords/>
  <dc:description/>
  <cp:lastModifiedBy>Sonnková Viktorie</cp:lastModifiedBy>
  <cp:revision>6</cp:revision>
  <dcterms:created xsi:type="dcterms:W3CDTF">2025-05-28T14:30:00Z</dcterms:created>
  <dcterms:modified xsi:type="dcterms:W3CDTF">2025-06-05T10:32:00Z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0x01010003AB670957280D4F893F53AF1A7262A2</vt:lpwstr>
  </property>
  <property fmtid="{D5CDD505-2E9C-101B-9397-08002B2CF9AE}" pid="3" name="MediaServiceImageTags">
    <vt:lpwstr/>
  </property>
</Properties>
</file>