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6FB1" w14:textId="04E25382" w:rsidR="004533D9" w:rsidRPr="00D81D86" w:rsidRDefault="008348B6" w:rsidP="004533D9">
      <w:pPr>
        <w:pStyle w:val="NormalnyWeb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8348B6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28 maja</w:t>
      </w:r>
      <w:r w:rsidR="004533D9" w:rsidRPr="008348B6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202</w:t>
      </w:r>
      <w:r w:rsidRPr="008348B6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4533D9" w:rsidRPr="008348B6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r.</w:t>
      </w:r>
    </w:p>
    <w:p w14:paraId="69178D4D" w14:textId="77777777" w:rsidR="004533D9" w:rsidRPr="00D81D86" w:rsidRDefault="004533D9" w:rsidP="008348B6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1D86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Informacja Prasowa</w:t>
      </w:r>
    </w:p>
    <w:p w14:paraId="6C0B1B6A" w14:textId="77777777" w:rsidR="008348B6" w:rsidRPr="008348B6" w:rsidRDefault="008348B6" w:rsidP="008348B6">
      <w:pPr>
        <w:pStyle w:val="Nagwek1"/>
        <w:jc w:val="center"/>
        <w:rPr>
          <w:rFonts w:ascii="Calibri" w:hAnsi="Calibri" w:cs="Calibri"/>
          <w:sz w:val="28"/>
          <w:szCs w:val="28"/>
        </w:rPr>
      </w:pPr>
      <w:r w:rsidRPr="008348B6">
        <w:rPr>
          <w:rFonts w:ascii="Calibri" w:hAnsi="Calibri" w:cs="Calibri"/>
          <w:sz w:val="28"/>
          <w:szCs w:val="28"/>
        </w:rPr>
        <w:t xml:space="preserve">Prognoza 200 mln sesji ładowania, 10 mld zł rachunku za ropę oraz rekordowe finansowanie </w:t>
      </w:r>
      <w:proofErr w:type="spellStart"/>
      <w:r w:rsidRPr="008348B6">
        <w:rPr>
          <w:rFonts w:ascii="Calibri" w:hAnsi="Calibri" w:cs="Calibri"/>
          <w:sz w:val="28"/>
          <w:szCs w:val="28"/>
        </w:rPr>
        <w:t>GreenWay</w:t>
      </w:r>
      <w:proofErr w:type="spellEnd"/>
      <w:r w:rsidRPr="008348B6">
        <w:rPr>
          <w:rFonts w:ascii="Calibri" w:hAnsi="Calibri" w:cs="Calibri"/>
          <w:sz w:val="28"/>
          <w:szCs w:val="28"/>
        </w:rPr>
        <w:t xml:space="preserve"> Polska – branża </w:t>
      </w:r>
      <w:proofErr w:type="spellStart"/>
      <w:r w:rsidRPr="008348B6">
        <w:rPr>
          <w:rFonts w:ascii="Calibri" w:hAnsi="Calibri" w:cs="Calibri"/>
          <w:sz w:val="28"/>
          <w:szCs w:val="28"/>
        </w:rPr>
        <w:t>elektromobilności</w:t>
      </w:r>
      <w:proofErr w:type="spellEnd"/>
      <w:r w:rsidRPr="008348B6">
        <w:rPr>
          <w:rFonts w:ascii="Calibri" w:hAnsi="Calibri" w:cs="Calibri"/>
          <w:sz w:val="28"/>
          <w:szCs w:val="28"/>
        </w:rPr>
        <w:t xml:space="preserve"> spotkała się w Elektrowni Powiśle</w:t>
      </w:r>
    </w:p>
    <w:p w14:paraId="01279CBC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b/>
          <w:bCs/>
          <w:sz w:val="22"/>
          <w:szCs w:val="22"/>
        </w:rPr>
      </w:pPr>
      <w:r w:rsidRPr="008348B6">
        <w:rPr>
          <w:rFonts w:ascii="Calibri" w:hAnsi="Calibri" w:cs="Calibri"/>
          <w:b/>
          <w:bCs/>
          <w:sz w:val="22"/>
          <w:szCs w:val="22"/>
        </w:rPr>
        <w:t xml:space="preserve">Kiedy publiczne ładowarki staną się tak powszechne jak stacje benzynowe? Skąd wziąć pieniądze na transformację transportu? I Ile kosztuje Polskę uzależnienie od ropy? Na te pytania szukano odpowiedzi podczas konferencji „Kiedy 200 milionów sesji ładowania w Polsce?”, zorganizowanej 26 maja w warszawskiej Elektrowni Powiśle przez Polskie Stowarzyszenie Nowej Mobilności (PSNM) z okazji osiągnięcia kamienia milowego 20 mln sesji ładowania. Wydarzenie zwieńczyło podpisanie historycznej umowy finansowania </w:t>
      </w:r>
      <w:proofErr w:type="spellStart"/>
      <w:r w:rsidRPr="008348B6">
        <w:rPr>
          <w:rFonts w:ascii="Calibri" w:hAnsi="Calibri" w:cs="Calibri"/>
          <w:b/>
          <w:bCs/>
          <w:sz w:val="22"/>
          <w:szCs w:val="22"/>
        </w:rPr>
        <w:t>GreenWay</w:t>
      </w:r>
      <w:proofErr w:type="spellEnd"/>
      <w:r w:rsidRPr="008348B6">
        <w:rPr>
          <w:rFonts w:ascii="Calibri" w:hAnsi="Calibri" w:cs="Calibri"/>
          <w:b/>
          <w:bCs/>
          <w:sz w:val="22"/>
          <w:szCs w:val="22"/>
        </w:rPr>
        <w:t xml:space="preserve"> Polska na kwotę do 138 mln euro – pierwszej tego typu transakcji w Europie Środkowo-Wschodniej.</w:t>
      </w:r>
    </w:p>
    <w:p w14:paraId="67B48913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Konferencję otworzył Konrad Wojnarowski, podsekretarz stanu w Ministerstwie Energii. Podkreślił, że rozwój </w:t>
      </w:r>
      <w:proofErr w:type="spellStart"/>
      <w:r w:rsidRPr="008348B6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wymaga ścisłej koordynacji z inwestycjami w energetykę i sieci przesyłowe.</w:t>
      </w:r>
    </w:p>
    <w:p w14:paraId="13FB8143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>„Naszym zadaniem jest budowa systemu ładowarek przy autostradach, osiedlach, sieciach handlowych” – powiedział. Wskazał również na konieczność rozbudowy sieci energetycznych, inwestycji w OZE i magazyny energii oraz wykorzystania środków z Krajowego Planu Odbudowy do modernizacji infrastruktury.</w:t>
      </w:r>
    </w:p>
    <w:p w14:paraId="329AA0BC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Wojnarowski przypomniał, że programy dopłat do zakupu aut elektrycznych pokazują rosnące zainteresowanie Polaków </w:t>
      </w:r>
      <w:proofErr w:type="spellStart"/>
      <w:r w:rsidRPr="008348B6">
        <w:rPr>
          <w:rFonts w:ascii="Calibri" w:hAnsi="Calibri" w:cs="Calibri"/>
          <w:sz w:val="22"/>
          <w:szCs w:val="22"/>
        </w:rPr>
        <w:t>elektromobilnością</w:t>
      </w:r>
      <w:proofErr w:type="spellEnd"/>
      <w:r w:rsidRPr="008348B6">
        <w:rPr>
          <w:rFonts w:ascii="Calibri" w:hAnsi="Calibri" w:cs="Calibri"/>
          <w:sz w:val="22"/>
          <w:szCs w:val="22"/>
        </w:rPr>
        <w:t>, choć wciąż wysokie koszty wejścia pozostają jedną z głównych barier.</w:t>
      </w:r>
    </w:p>
    <w:p w14:paraId="71152B61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>Z kolei Maciej Mazur, dyrektor zarządzający PSNM, przedstawił raport „</w:t>
      </w:r>
      <w:proofErr w:type="spellStart"/>
      <w:r w:rsidRPr="008348B6">
        <w:rPr>
          <w:rFonts w:ascii="Calibri" w:hAnsi="Calibri" w:cs="Calibri"/>
          <w:sz w:val="22"/>
          <w:szCs w:val="22"/>
        </w:rPr>
        <w:t>Polish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EV Outlook Foresight”, opracowany wspólnie z F5A New </w:t>
      </w:r>
      <w:proofErr w:type="spellStart"/>
      <w:r w:rsidRPr="008348B6">
        <w:rPr>
          <w:rFonts w:ascii="Calibri" w:hAnsi="Calibri" w:cs="Calibri"/>
          <w:sz w:val="22"/>
          <w:szCs w:val="22"/>
        </w:rPr>
        <w:t>Mobility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348B6">
        <w:rPr>
          <w:rFonts w:ascii="Calibri" w:hAnsi="Calibri" w:cs="Calibri"/>
          <w:sz w:val="22"/>
          <w:szCs w:val="22"/>
        </w:rPr>
        <w:t>Research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&amp; Consulting. Przypomniał, że pierwszy publiczny punkt ładowania aut elektrycznych w Polsce uruchomiono 17 listopada 2009 roku na Wybrzeżu Kościuszkowskim w Warszawie. Od tamtego czasu powstało już blisko 12 800 ogólnodostępnych punktów ładowania w ponad 5 500 lokalizacjach, o łącznej mocy zainstalowanej 624 MW.</w:t>
      </w:r>
    </w:p>
    <w:p w14:paraId="542E1555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Kluczową tezą prezentacji był przełomowy foresight: do końca 2030 roku w Polsce odnotowanych zostanie łącznie ponad 200 mln sesji ładowania – przy czym </w:t>
      </w:r>
      <w:proofErr w:type="gramStart"/>
      <w:r w:rsidRPr="008348B6">
        <w:rPr>
          <w:rFonts w:ascii="Calibri" w:hAnsi="Calibri" w:cs="Calibri"/>
          <w:sz w:val="22"/>
          <w:szCs w:val="22"/>
        </w:rPr>
        <w:t>osiągnięcie  pierwszych</w:t>
      </w:r>
      <w:proofErr w:type="gramEnd"/>
      <w:r w:rsidRPr="008348B6">
        <w:rPr>
          <w:rFonts w:ascii="Calibri" w:hAnsi="Calibri" w:cs="Calibri"/>
          <w:sz w:val="22"/>
          <w:szCs w:val="22"/>
        </w:rPr>
        <w:t xml:space="preserve"> 10 milionów zajęło ok. 15 lat. W samym tylko 2030 roku prognozowanych jest ponad 90 mln sesji, a średnio każdego dnia realizowanych będzie ponad 200 tys. sesji ładowania.</w:t>
      </w:r>
    </w:p>
    <w:p w14:paraId="06F549B4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>„Prawdziwy boom dopiero przed nami” – podkreślił Mazur. Wskaźnik wykorzystania infrastruktury wzrośnie nawet 5-krotnie: z ok. 30 sesji na punkt miesięcznie w 2025 r. do ok. 150 w 2030 r.</w:t>
      </w:r>
    </w:p>
    <w:p w14:paraId="0B19407B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Z danych wynika również, że ceny osobowych BEV w Polsce spadają – średnia cena nowego elektryka obniżyła się o 12,4% r/r (do ok. 209,6 tys. zł w I–IV 2026), a w segmencie </w:t>
      </w:r>
      <w:proofErr w:type="spellStart"/>
      <w:r w:rsidRPr="008348B6">
        <w:rPr>
          <w:rFonts w:ascii="Calibri" w:hAnsi="Calibri" w:cs="Calibri"/>
          <w:sz w:val="22"/>
          <w:szCs w:val="22"/>
        </w:rPr>
        <w:t>premium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aż o 19,6%. Rejestracje osobowych BEV w czterech pierwszych miesiącach 2026 r. wyniosły 11 413 szt. (+49% r/r), a rejestracje autobusów zeroemisyjnych wzrosły o 412%.</w:t>
      </w:r>
    </w:p>
    <w:p w14:paraId="62CB6A1A" w14:textId="77777777" w:rsidR="008348B6" w:rsidRPr="008348B6" w:rsidRDefault="008348B6" w:rsidP="008348B6">
      <w:pPr>
        <w:pStyle w:val="Nagwek2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>Panel I: Infrastruktura, finanse i bariery wzrostu</w:t>
      </w:r>
    </w:p>
    <w:p w14:paraId="30B242DC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Pierwszy panel zgromadził kluczowych graczy sektora infrastruktury ładowania: Krzysztofa Kaczyńskiego (Dyrektora Wykonawczego ds. </w:t>
      </w:r>
      <w:proofErr w:type="spellStart"/>
      <w:r w:rsidRPr="008348B6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, ORLEN), Pawła Augustyna (Zastępcę Prezesa NFOŚiGW), Mirosława Suchonia (Przewodniczącego Sejmowej Komisji Infrastruktury), Rafała </w:t>
      </w:r>
      <w:r w:rsidRPr="008348B6">
        <w:rPr>
          <w:rFonts w:ascii="Calibri" w:hAnsi="Calibri" w:cs="Calibri"/>
          <w:sz w:val="22"/>
          <w:szCs w:val="22"/>
        </w:rPr>
        <w:lastRenderedPageBreak/>
        <w:t xml:space="preserve">Czyżewskiego (CEO </w:t>
      </w:r>
      <w:proofErr w:type="spellStart"/>
      <w:r w:rsidRPr="008348B6">
        <w:rPr>
          <w:rFonts w:ascii="Calibri" w:hAnsi="Calibri" w:cs="Calibri"/>
          <w:sz w:val="22"/>
          <w:szCs w:val="22"/>
        </w:rPr>
        <w:t>GreenWay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348B6">
        <w:rPr>
          <w:rFonts w:ascii="Calibri" w:hAnsi="Calibri" w:cs="Calibri"/>
          <w:sz w:val="22"/>
          <w:szCs w:val="22"/>
        </w:rPr>
        <w:t>Group</w:t>
      </w:r>
      <w:proofErr w:type="spellEnd"/>
      <w:r w:rsidRPr="008348B6">
        <w:rPr>
          <w:rFonts w:ascii="Calibri" w:hAnsi="Calibri" w:cs="Calibri"/>
          <w:sz w:val="22"/>
          <w:szCs w:val="22"/>
        </w:rPr>
        <w:t>) oraz Krzysztofa Gerlacha (Dyrektora Zarządzającego ds. klientów korporacyjnych i rynków, mBank).</w:t>
      </w:r>
    </w:p>
    <w:p w14:paraId="41BBBC7A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Kaczyński wskazał, że największym wyzwaniem pozostaje dostęp do szybkich ładowarek w miastach, szczególnie dla mieszkańców zabudowy wielorodzinnej. „Budowa </w:t>
      </w:r>
      <w:proofErr w:type="spellStart"/>
      <w:r w:rsidRPr="008348B6">
        <w:rPr>
          <w:rFonts w:ascii="Calibri" w:hAnsi="Calibri" w:cs="Calibri"/>
          <w:sz w:val="22"/>
          <w:szCs w:val="22"/>
        </w:rPr>
        <w:t>hubów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wielostanowiskowych w miastach wydaje się koniecznością. My w Orlenie mamy strategię budowania stacji ładowania o dużej mocy w oparciu o naszą infrastrukturę stacji benzynowych” – powiedział. Orlen ma już osiem superszybkich </w:t>
      </w:r>
      <w:proofErr w:type="spellStart"/>
      <w:r w:rsidRPr="008348B6">
        <w:rPr>
          <w:rFonts w:ascii="Calibri" w:hAnsi="Calibri" w:cs="Calibri"/>
          <w:sz w:val="22"/>
          <w:szCs w:val="22"/>
        </w:rPr>
        <w:t>hubów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DC z nawet ośmioma punktami ładowania każdy, a celem firmy jest, by ładowanie było czasowo porównywalne z tankowaniem paliwa.</w:t>
      </w:r>
    </w:p>
    <w:p w14:paraId="5A3A63E5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Augustyn z NFOŚiGW zwrócił uwagę na rekordowe zainteresowanie programami dopłat. „W tym roku mamy rekordowe 37 mld zł. Z tej kwoty będziemy realizować płatności na 2 mld zł na sieć szybkich ładowarek TEN-T” – wymienił. Fundusz musi </w:t>
      </w:r>
      <w:proofErr w:type="spellStart"/>
      <w:r w:rsidRPr="008348B6">
        <w:rPr>
          <w:rFonts w:ascii="Calibri" w:hAnsi="Calibri" w:cs="Calibri"/>
          <w:sz w:val="22"/>
          <w:szCs w:val="22"/>
        </w:rPr>
        <w:t>outsourcować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obsługę programu „</w:t>
      </w:r>
      <w:proofErr w:type="spellStart"/>
      <w:r w:rsidRPr="008348B6">
        <w:rPr>
          <w:rFonts w:ascii="Calibri" w:hAnsi="Calibri" w:cs="Calibri"/>
          <w:sz w:val="22"/>
          <w:szCs w:val="22"/>
        </w:rPr>
        <w:t>NaszeAuto</w:t>
      </w:r>
      <w:proofErr w:type="spellEnd"/>
      <w:r w:rsidRPr="008348B6">
        <w:rPr>
          <w:rFonts w:ascii="Calibri" w:hAnsi="Calibri" w:cs="Calibri"/>
          <w:sz w:val="22"/>
          <w:szCs w:val="22"/>
        </w:rPr>
        <w:t>” ze względu na ogromną liczbę wniosków. Dowodem na dojrzewanie rynku jest rosnąca liczba elektryków kupowanych bez dopłat.</w:t>
      </w:r>
    </w:p>
    <w:p w14:paraId="0D171E4A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>Mirosław Suchoń zapowiedział, że dzięki środkom z KPO możliwe będzie sfinansowanie ok. tysiąca nowych stacji ładowania, a także dalsze prace nad uproszczeniem procedur inwestycyjnych i skróceniem czasu realizacji przyłączy energetycznych.</w:t>
      </w:r>
    </w:p>
    <w:p w14:paraId="4AF1A50B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Krzysztof Gerlach z mBanku podkreślił natomiast: „To ważny sygnał dla rynku: infrastruktura wchodzi w etap, w którym skala może rosnąć szybciej niż dotąd”. Rafał Czyżewski z </w:t>
      </w:r>
      <w:proofErr w:type="spellStart"/>
      <w:r w:rsidRPr="008348B6">
        <w:rPr>
          <w:rFonts w:ascii="Calibri" w:hAnsi="Calibri" w:cs="Calibri"/>
          <w:sz w:val="22"/>
          <w:szCs w:val="22"/>
        </w:rPr>
        <w:t>GreenWay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Polska wskazał, że firma posiada obecnie 5,8 tys. punktów ładowania w ponad 1,6 tys. lokalizacji i współpracuje z wielkimi graczami flotowymi: </w:t>
      </w:r>
      <w:proofErr w:type="spellStart"/>
      <w:r w:rsidRPr="008348B6">
        <w:rPr>
          <w:rFonts w:ascii="Calibri" w:hAnsi="Calibri" w:cs="Calibri"/>
          <w:sz w:val="22"/>
          <w:szCs w:val="22"/>
        </w:rPr>
        <w:t>InPost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, IKEA, Coca-Cola czy </w:t>
      </w:r>
      <w:proofErr w:type="spellStart"/>
      <w:r w:rsidRPr="008348B6">
        <w:rPr>
          <w:rFonts w:ascii="Calibri" w:hAnsi="Calibri" w:cs="Calibri"/>
          <w:sz w:val="22"/>
          <w:szCs w:val="22"/>
        </w:rPr>
        <w:t>Westfield</w:t>
      </w:r>
      <w:proofErr w:type="spellEnd"/>
      <w:r w:rsidRPr="008348B6">
        <w:rPr>
          <w:rFonts w:ascii="Calibri" w:hAnsi="Calibri" w:cs="Calibri"/>
          <w:sz w:val="22"/>
          <w:szCs w:val="22"/>
        </w:rPr>
        <w:t>.</w:t>
      </w:r>
    </w:p>
    <w:p w14:paraId="33557E9F" w14:textId="77777777" w:rsidR="008348B6" w:rsidRPr="008348B6" w:rsidRDefault="008348B6" w:rsidP="008348B6">
      <w:pPr>
        <w:pStyle w:val="Nagwek2"/>
        <w:jc w:val="both"/>
        <w:rPr>
          <w:rFonts w:ascii="Calibri" w:hAnsi="Calibri" w:cs="Calibri"/>
          <w:sz w:val="22"/>
          <w:szCs w:val="22"/>
        </w:rPr>
      </w:pPr>
      <w:proofErr w:type="spellStart"/>
      <w:r w:rsidRPr="008348B6">
        <w:rPr>
          <w:rFonts w:ascii="Calibri" w:hAnsi="Calibri" w:cs="Calibri"/>
          <w:sz w:val="22"/>
          <w:szCs w:val="22"/>
        </w:rPr>
        <w:t>Instrat</w:t>
      </w:r>
      <w:proofErr w:type="spellEnd"/>
      <w:r w:rsidRPr="008348B6">
        <w:rPr>
          <w:rFonts w:ascii="Calibri" w:hAnsi="Calibri" w:cs="Calibri"/>
          <w:sz w:val="22"/>
          <w:szCs w:val="22"/>
        </w:rPr>
        <w:t>: 10 mld zł – rachunek za uzależnienie od ropy</w:t>
      </w:r>
    </w:p>
    <w:p w14:paraId="71E77B9E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Momentem przełomowym konferencji była prezentacja analizy Fundacji </w:t>
      </w:r>
      <w:proofErr w:type="spellStart"/>
      <w:r w:rsidRPr="008348B6">
        <w:rPr>
          <w:rFonts w:ascii="Calibri" w:hAnsi="Calibri" w:cs="Calibri"/>
          <w:sz w:val="22"/>
          <w:szCs w:val="22"/>
        </w:rPr>
        <w:t>Instrat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pt. „Rachunek za uzależnienie. Koszty kryzysu w Iranie dla polskiego transportu”, przygotowanej przy wsparciu </w:t>
      </w:r>
      <w:proofErr w:type="spellStart"/>
      <w:r w:rsidRPr="008348B6">
        <w:rPr>
          <w:rFonts w:ascii="Calibri" w:hAnsi="Calibri" w:cs="Calibri"/>
          <w:sz w:val="22"/>
          <w:szCs w:val="22"/>
        </w:rPr>
        <w:t>Clean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348B6">
        <w:rPr>
          <w:rFonts w:ascii="Calibri" w:hAnsi="Calibri" w:cs="Calibri"/>
          <w:sz w:val="22"/>
          <w:szCs w:val="22"/>
        </w:rPr>
        <w:t>Air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Fund. Michał Grabka, kierownik Programu Energia i Klimat w Fundacji </w:t>
      </w:r>
      <w:proofErr w:type="spellStart"/>
      <w:r w:rsidRPr="008348B6">
        <w:rPr>
          <w:rFonts w:ascii="Calibri" w:hAnsi="Calibri" w:cs="Calibri"/>
          <w:sz w:val="22"/>
          <w:szCs w:val="22"/>
        </w:rPr>
        <w:t>Instrat</w:t>
      </w:r>
      <w:proofErr w:type="spellEnd"/>
      <w:r w:rsidRPr="008348B6">
        <w:rPr>
          <w:rFonts w:ascii="Calibri" w:hAnsi="Calibri" w:cs="Calibri"/>
          <w:sz w:val="22"/>
          <w:szCs w:val="22"/>
        </w:rPr>
        <w:t>, przedstawił twarde liczby: od wybuchu konfliktu w Iranie 28 lutego do połowy maja 2026 r. Polska poniosła ok. 10 mld zł dodatkowych kosztów zakupu paliw silnikowych.</w:t>
      </w:r>
    </w:p>
    <w:p w14:paraId="587E3EC7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>Z analizy wynika, że 80% tego kosztu pokryli bezpośrednio kierowcy i firmy. Pakiet CPN (obniżka VAT z 23% do 8% oraz akcyzy o 28–29 gr/l) obniżył ceny na stacjach, ale pomoc była asymetryczna: cena litra benzyny dla kierowcy indywidualnego wzrosła o 42 grosze, natomiast dla firmy transportowej korzystającej z ON – aż o 1,77 zł. Firmy odliczają VAT, więc obniżka stawki im nie pomogła. Odczuwalne ceny dla firm używających diesla wzrosły nawet pięciokrotnie bardziej niż dla prywatnych kierowców tankujących benzynę.</w:t>
      </w:r>
    </w:p>
    <w:p w14:paraId="7E3B4529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8348B6">
        <w:rPr>
          <w:rFonts w:ascii="Calibri" w:hAnsi="Calibri" w:cs="Calibri"/>
          <w:sz w:val="22"/>
          <w:szCs w:val="22"/>
        </w:rPr>
        <w:t>Instrat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zaproponował trzy kierunki działań, które powinny być sfinansowane z wpływów z podatku od nadmiarowych zysków (</w:t>
      </w:r>
      <w:proofErr w:type="spellStart"/>
      <w:r w:rsidRPr="008348B6">
        <w:rPr>
          <w:rFonts w:ascii="Calibri" w:hAnsi="Calibri" w:cs="Calibri"/>
          <w:sz w:val="22"/>
          <w:szCs w:val="22"/>
        </w:rPr>
        <w:t>windfall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348B6">
        <w:rPr>
          <w:rFonts w:ascii="Calibri" w:hAnsi="Calibri" w:cs="Calibri"/>
          <w:sz w:val="22"/>
          <w:szCs w:val="22"/>
        </w:rPr>
        <w:t>tax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): obniżony VAT 8% na ładowanie EV („e-CPN”) i przyspieszenie rozbudowy infrastruktury zgodnie z wymogami AFIR; </w:t>
      </w:r>
      <w:proofErr w:type="spellStart"/>
      <w:r w:rsidRPr="008348B6">
        <w:rPr>
          <w:rFonts w:ascii="Calibri" w:hAnsi="Calibri" w:cs="Calibri"/>
          <w:sz w:val="22"/>
          <w:szCs w:val="22"/>
        </w:rPr>
        <w:t>social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leasing europejskich aut elektrycznych z ratą do 450 zł miesięcznie; oraz „Bilet Polska” – preferencyjny bilet na transport publiczny na wzór niemieckiego </w:t>
      </w:r>
      <w:proofErr w:type="spellStart"/>
      <w:r w:rsidRPr="008348B6">
        <w:rPr>
          <w:rFonts w:ascii="Calibri" w:hAnsi="Calibri" w:cs="Calibri"/>
          <w:sz w:val="22"/>
          <w:szCs w:val="22"/>
        </w:rPr>
        <w:t>Deutschlandticket</w:t>
      </w:r>
      <w:proofErr w:type="spellEnd"/>
      <w:r w:rsidRPr="008348B6">
        <w:rPr>
          <w:rFonts w:ascii="Calibri" w:hAnsi="Calibri" w:cs="Calibri"/>
          <w:sz w:val="22"/>
          <w:szCs w:val="22"/>
        </w:rPr>
        <w:t>.</w:t>
      </w:r>
    </w:p>
    <w:p w14:paraId="42D9332D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>„Leczymy objawy – musimy zacząć zapobiegać” – podsumowywał Grabka, wskazując, że od wybuchu wojny Polska przeznaczyła zero nowych środków na strukturalne uodpornienie się na podobne kryzysy w przyszłości.</w:t>
      </w:r>
    </w:p>
    <w:p w14:paraId="218D13CD" w14:textId="77777777" w:rsidR="008348B6" w:rsidRPr="008348B6" w:rsidRDefault="008348B6" w:rsidP="008348B6">
      <w:pPr>
        <w:pStyle w:val="Nagwek2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Panel II: </w:t>
      </w:r>
      <w:proofErr w:type="spellStart"/>
      <w:r w:rsidRPr="008348B6">
        <w:rPr>
          <w:rFonts w:ascii="Calibri" w:hAnsi="Calibri" w:cs="Calibri"/>
          <w:sz w:val="22"/>
          <w:szCs w:val="22"/>
        </w:rPr>
        <w:t>Elektromobilność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oczami użytkowników i biznesu</w:t>
      </w:r>
    </w:p>
    <w:p w14:paraId="3C3D59C4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Drugi panel w składzie: Wojciech Grzegorski (CEO Porsche Polska), Adam Simon (Senior </w:t>
      </w:r>
      <w:proofErr w:type="spellStart"/>
      <w:r w:rsidRPr="008348B6">
        <w:rPr>
          <w:rFonts w:ascii="Calibri" w:hAnsi="Calibri" w:cs="Calibri"/>
          <w:sz w:val="22"/>
          <w:szCs w:val="22"/>
        </w:rPr>
        <w:t>Head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of Business Development Motors </w:t>
      </w:r>
      <w:proofErr w:type="spellStart"/>
      <w:r w:rsidRPr="008348B6">
        <w:rPr>
          <w:rFonts w:ascii="Calibri" w:hAnsi="Calibri" w:cs="Calibri"/>
          <w:sz w:val="22"/>
          <w:szCs w:val="22"/>
        </w:rPr>
        <w:t>Professionals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Europe, OTOMOTO), Cyprian Gronkiewicz (CEO, </w:t>
      </w:r>
      <w:proofErr w:type="spellStart"/>
      <w:r w:rsidRPr="008348B6">
        <w:rPr>
          <w:rFonts w:ascii="Calibri" w:hAnsi="Calibri" w:cs="Calibri"/>
          <w:sz w:val="22"/>
          <w:szCs w:val="22"/>
        </w:rPr>
        <w:t>EelctroMobility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Poland), Sebastian Anioł (Dyrektor ds. Innowacji Logistycznych, </w:t>
      </w:r>
      <w:proofErr w:type="spellStart"/>
      <w:r w:rsidRPr="008348B6">
        <w:rPr>
          <w:rFonts w:ascii="Calibri" w:hAnsi="Calibri" w:cs="Calibri"/>
          <w:sz w:val="22"/>
          <w:szCs w:val="22"/>
        </w:rPr>
        <w:t>InPost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). </w:t>
      </w:r>
    </w:p>
    <w:p w14:paraId="18A99A2F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lastRenderedPageBreak/>
        <w:t xml:space="preserve">Czy Porsche obawia się konkurencji na rynku aut </w:t>
      </w:r>
      <w:proofErr w:type="spellStart"/>
      <w:r w:rsidRPr="008348B6">
        <w:rPr>
          <w:rFonts w:ascii="Calibri" w:hAnsi="Calibri" w:cs="Calibri"/>
          <w:sz w:val="22"/>
          <w:szCs w:val="22"/>
        </w:rPr>
        <w:t>premium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z Chin? Jak przekonuje Wojciech Grzegorski, </w:t>
      </w:r>
      <w:proofErr w:type="gramStart"/>
      <w:r w:rsidRPr="008348B6">
        <w:rPr>
          <w:rFonts w:ascii="Calibri" w:hAnsi="Calibri" w:cs="Calibri"/>
          <w:sz w:val="22"/>
          <w:szCs w:val="22"/>
        </w:rPr>
        <w:t>„ Marka</w:t>
      </w:r>
      <w:proofErr w:type="gramEnd"/>
      <w:r w:rsidRPr="008348B6">
        <w:rPr>
          <w:rFonts w:ascii="Calibri" w:hAnsi="Calibri" w:cs="Calibri"/>
          <w:sz w:val="22"/>
          <w:szCs w:val="22"/>
        </w:rPr>
        <w:t xml:space="preserve"> Porsche jest ściśle związana z </w:t>
      </w:r>
      <w:proofErr w:type="spellStart"/>
      <w:r w:rsidRPr="008348B6">
        <w:rPr>
          <w:rFonts w:ascii="Calibri" w:hAnsi="Calibri" w:cs="Calibri"/>
          <w:sz w:val="22"/>
          <w:szCs w:val="22"/>
        </w:rPr>
        <w:t>motorsportem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, więc rywalizacja jest dla nas czymś naturalnym. Bardzo uważanie wsłuchujemy się w potrzeby klientów”. </w:t>
      </w:r>
    </w:p>
    <w:p w14:paraId="3D8CB8B8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Simon natomiast wskazał, że potencjał rozwoju sektora </w:t>
      </w:r>
      <w:proofErr w:type="spellStart"/>
      <w:r w:rsidRPr="008348B6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drzemie w autach używanych. Jest to rynek na wczesnym etapie rozwoju, który ma szanse stać się kluczowym w najbliższych latach. </w:t>
      </w:r>
    </w:p>
    <w:p w14:paraId="5A9734CC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Z kolei Sebastian Anioł, wskazał, iż jako </w:t>
      </w:r>
      <w:proofErr w:type="spellStart"/>
      <w:r w:rsidRPr="008348B6">
        <w:rPr>
          <w:rFonts w:ascii="Calibri" w:hAnsi="Calibri" w:cs="Calibri"/>
          <w:sz w:val="22"/>
          <w:szCs w:val="22"/>
        </w:rPr>
        <w:t>InPost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są liderem testowania pojazdów elektrycznych i z ich punktu widzenia kierunek jest jeden. Wyzwaniem pozostają kwestie transportu dalekobieżnego, jednak testy w tym aspekcie trwają. </w:t>
      </w:r>
    </w:p>
    <w:p w14:paraId="75D15AA9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Cyprian Gronkiewicz zapytany o przyszłość </w:t>
      </w:r>
      <w:proofErr w:type="spellStart"/>
      <w:r w:rsidRPr="008348B6">
        <w:rPr>
          <w:rFonts w:ascii="Calibri" w:hAnsi="Calibri" w:cs="Calibri"/>
          <w:sz w:val="22"/>
          <w:szCs w:val="22"/>
        </w:rPr>
        <w:t>ElectroMobility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Poland wyraźnie podkreślił, że rok 2029 będzie przełomowy, gdyż właśnie wtedy ma zjechać z taśmy fabryki w Jaworznie pierwszy elektryczny pojazd. Przekonywał dodatkowo, że podjęta współpraca z </w:t>
      </w:r>
      <w:proofErr w:type="spellStart"/>
      <w:r w:rsidRPr="008348B6">
        <w:rPr>
          <w:rFonts w:ascii="Calibri" w:hAnsi="Calibri" w:cs="Calibri"/>
          <w:sz w:val="22"/>
          <w:szCs w:val="22"/>
        </w:rPr>
        <w:t>Foxconn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jest najlepszym możliwym rozwiązaniem, uwzględniając fakt transferu technologicznego i łańcucha wartości budowanego na miejscu wraz z lokalnymi dostawcami. </w:t>
      </w:r>
    </w:p>
    <w:p w14:paraId="7B8FFC74" w14:textId="77777777" w:rsidR="008348B6" w:rsidRPr="008348B6" w:rsidRDefault="008348B6" w:rsidP="008348B6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Reasumując, </w:t>
      </w:r>
      <w:proofErr w:type="spellStart"/>
      <w:r w:rsidRPr="008348B6">
        <w:rPr>
          <w:rFonts w:ascii="Calibri" w:hAnsi="Calibri" w:cs="Calibri"/>
          <w:sz w:val="22"/>
          <w:szCs w:val="22"/>
        </w:rPr>
        <w:t>paneliści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byli zgodni, że samochody elektryczne przestają być niszowym produktem i coraz częściej stają się racjonalnym wyborem zarówno dla firm, jak i klientów indywidualnych.</w:t>
      </w:r>
    </w:p>
    <w:p w14:paraId="5DD4E01B" w14:textId="77777777" w:rsidR="008348B6" w:rsidRPr="008348B6" w:rsidRDefault="008348B6" w:rsidP="008348B6">
      <w:pPr>
        <w:pStyle w:val="Nagwek2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Historyczne podpisanie: 138 mln euro dla </w:t>
      </w:r>
      <w:proofErr w:type="spellStart"/>
      <w:r w:rsidRPr="008348B6">
        <w:rPr>
          <w:rFonts w:ascii="Calibri" w:hAnsi="Calibri" w:cs="Calibri"/>
          <w:sz w:val="22"/>
          <w:szCs w:val="22"/>
        </w:rPr>
        <w:t>GreenWay</w:t>
      </w:r>
      <w:proofErr w:type="spellEnd"/>
    </w:p>
    <w:p w14:paraId="4AA65049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Punktem kulminacyjnym konferencji było uroczyste podpisanie umowy o zielone finansowanie dłużne </w:t>
      </w:r>
      <w:proofErr w:type="spellStart"/>
      <w:r w:rsidRPr="008348B6">
        <w:rPr>
          <w:rFonts w:ascii="Calibri" w:hAnsi="Calibri" w:cs="Calibri"/>
          <w:sz w:val="22"/>
          <w:szCs w:val="22"/>
        </w:rPr>
        <w:t>GreenWay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Polska w wysokości do 138 mln euro. Konsorcjum tworzą Europejski Bank Odbudowy i Rozwoju (EBOR, przy wsparciu programu </w:t>
      </w:r>
      <w:proofErr w:type="spellStart"/>
      <w:r w:rsidRPr="008348B6">
        <w:rPr>
          <w:rFonts w:ascii="Calibri" w:hAnsi="Calibri" w:cs="Calibri"/>
          <w:sz w:val="22"/>
          <w:szCs w:val="22"/>
        </w:rPr>
        <w:t>InvestEU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8348B6">
        <w:rPr>
          <w:rFonts w:ascii="Calibri" w:hAnsi="Calibri" w:cs="Calibri"/>
          <w:sz w:val="22"/>
          <w:szCs w:val="22"/>
        </w:rPr>
        <w:t>Crédit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348B6">
        <w:rPr>
          <w:rFonts w:ascii="Calibri" w:hAnsi="Calibri" w:cs="Calibri"/>
          <w:sz w:val="22"/>
          <w:szCs w:val="22"/>
        </w:rPr>
        <w:t>Mutuel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348B6">
        <w:rPr>
          <w:rFonts w:ascii="Calibri" w:hAnsi="Calibri" w:cs="Calibri"/>
          <w:sz w:val="22"/>
          <w:szCs w:val="22"/>
        </w:rPr>
        <w:t>Arkéa</w:t>
      </w:r>
      <w:proofErr w:type="spellEnd"/>
      <w:r w:rsidRPr="008348B6">
        <w:rPr>
          <w:rFonts w:ascii="Calibri" w:hAnsi="Calibri" w:cs="Calibri"/>
          <w:sz w:val="22"/>
          <w:szCs w:val="22"/>
        </w:rPr>
        <w:t>, ING Bank Śląski oraz mBank (pełniący również funkcję agenta i koordynatora).</w:t>
      </w:r>
    </w:p>
    <w:p w14:paraId="6962F09C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„To pierwsza tego typu transakcja dotycząca niezależnego operatora infrastruktury ładowania pojazdów elektrycznych w Europie Środkowo-Wschodniej” – podkreślił Peter </w:t>
      </w:r>
      <w:proofErr w:type="spellStart"/>
      <w:r w:rsidRPr="008348B6">
        <w:rPr>
          <w:rFonts w:ascii="Calibri" w:hAnsi="Calibri" w:cs="Calibri"/>
          <w:sz w:val="22"/>
          <w:szCs w:val="22"/>
        </w:rPr>
        <w:t>Badik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, założyciel i przewodniczący rady nadzorczej </w:t>
      </w:r>
      <w:proofErr w:type="spellStart"/>
      <w:r w:rsidRPr="008348B6">
        <w:rPr>
          <w:rFonts w:ascii="Calibri" w:hAnsi="Calibri" w:cs="Calibri"/>
          <w:sz w:val="22"/>
          <w:szCs w:val="22"/>
        </w:rPr>
        <w:t>GreenWay</w:t>
      </w:r>
      <w:proofErr w:type="spellEnd"/>
      <w:r w:rsidRPr="008348B6">
        <w:rPr>
          <w:rFonts w:ascii="Calibri" w:hAnsi="Calibri" w:cs="Calibri"/>
          <w:sz w:val="22"/>
          <w:szCs w:val="22"/>
        </w:rPr>
        <w:t>. Łączna wartość finansowania pozyskanego przez firmę wzrosła tym samym do 258 mln euro.</w:t>
      </w:r>
    </w:p>
    <w:p w14:paraId="13B586B0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„Zaufanie okazane przez instytucje finansowe stanowi zwieńczenie niemal 15 lat wysiłków zespołu </w:t>
      </w:r>
      <w:proofErr w:type="spellStart"/>
      <w:r w:rsidRPr="008348B6">
        <w:rPr>
          <w:rFonts w:ascii="Calibri" w:hAnsi="Calibri" w:cs="Calibri"/>
          <w:sz w:val="22"/>
          <w:szCs w:val="22"/>
        </w:rPr>
        <w:t>GreenWay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oraz jednoznaczne potwierdzenie słuszności naszej wizji i modelu biznesowego” – ocenił </w:t>
      </w:r>
      <w:proofErr w:type="spellStart"/>
      <w:r w:rsidRPr="008348B6">
        <w:rPr>
          <w:rFonts w:ascii="Calibri" w:hAnsi="Calibri" w:cs="Calibri"/>
          <w:sz w:val="22"/>
          <w:szCs w:val="22"/>
        </w:rPr>
        <w:t>Badik</w:t>
      </w:r>
      <w:proofErr w:type="spellEnd"/>
      <w:r w:rsidRPr="008348B6">
        <w:rPr>
          <w:rFonts w:ascii="Calibri" w:hAnsi="Calibri" w:cs="Calibri"/>
          <w:sz w:val="22"/>
          <w:szCs w:val="22"/>
        </w:rPr>
        <w:t>. Wskazał, że środki zostaną przeznaczone na rozbudowę sieci ładowania w Polsce, na Słowacji i w Chorwacji.</w:t>
      </w:r>
    </w:p>
    <w:p w14:paraId="35FCC4A3" w14:textId="77777777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348B6">
        <w:rPr>
          <w:rFonts w:ascii="Calibri" w:hAnsi="Calibri" w:cs="Calibri"/>
          <w:sz w:val="22"/>
          <w:szCs w:val="22"/>
        </w:rPr>
        <w:t xml:space="preserve">Agnieszka Wolska, wiceprezes ING Banku Śląskiego, zaznaczyła: „To dla nas ważny projekt, który nie tylko wzmacnia rozwój infrastruktury ładowania, ale również realnie wspiera rozwój </w:t>
      </w:r>
      <w:proofErr w:type="spellStart"/>
      <w:r w:rsidRPr="008348B6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w Polsce”.</w:t>
      </w:r>
    </w:p>
    <w:p w14:paraId="4B674B64" w14:textId="79701A38" w:rsidR="008348B6" w:rsidRPr="008348B6" w:rsidRDefault="008348B6" w:rsidP="008348B6">
      <w:pPr>
        <w:spacing w:after="1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8348B6">
        <w:rPr>
          <w:rFonts w:ascii="Calibri" w:hAnsi="Calibri" w:cs="Calibri"/>
          <w:sz w:val="22"/>
          <w:szCs w:val="22"/>
        </w:rPr>
        <w:t>Andreea</w:t>
      </w:r>
      <w:proofErr w:type="spellEnd"/>
      <w:r w:rsidRPr="008348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348B6">
        <w:rPr>
          <w:rFonts w:ascii="Calibri" w:hAnsi="Calibri" w:cs="Calibri"/>
          <w:sz w:val="22"/>
          <w:szCs w:val="22"/>
        </w:rPr>
        <w:t>Moraru</w:t>
      </w:r>
      <w:proofErr w:type="spellEnd"/>
      <w:r w:rsidRPr="008348B6">
        <w:rPr>
          <w:rFonts w:ascii="Calibri" w:hAnsi="Calibri" w:cs="Calibri"/>
          <w:sz w:val="22"/>
          <w:szCs w:val="22"/>
        </w:rPr>
        <w:t>, dyrektor EBOR na Polskę i kraje bałtyckie, podkreśliła, że inwestycja odzwierciedla zaangażowanie Banku we wspieranie prywatnych podmiotów regionalnych w rozwoju nowoczesnej infrastruktury gotowej na przyszłość, przy jednoczesnym przyspieszaniu transformacji w kierunku mobilności elektrycznej.</w:t>
      </w:r>
    </w:p>
    <w:p w14:paraId="4E1326DF" w14:textId="77777777" w:rsidR="004533D9" w:rsidRPr="00D81D86" w:rsidRDefault="004533D9" w:rsidP="004533D9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1D86">
        <w:rPr>
          <w:rFonts w:asciiTheme="minorHAnsi" w:hAnsiTheme="minorHAnsi" w:cstheme="minorHAnsi"/>
          <w:sz w:val="22"/>
          <w:szCs w:val="22"/>
        </w:rPr>
        <w:t xml:space="preserve">Więcej informacji: </w:t>
      </w:r>
      <w:r>
        <w:fldChar w:fldCharType="begin"/>
      </w:r>
      <w:r>
        <w:instrText>HYPERLINK "http://www.psnm.org"</w:instrText>
      </w:r>
      <w:r>
        <w:fldChar w:fldCharType="separate"/>
      </w:r>
      <w:r w:rsidRPr="00D81D86">
        <w:rPr>
          <w:rStyle w:val="Hipercze"/>
          <w:rFonts w:asciiTheme="minorHAnsi" w:hAnsiTheme="minorHAnsi" w:cstheme="minorHAnsi"/>
          <w:sz w:val="22"/>
          <w:szCs w:val="22"/>
        </w:rPr>
        <w:t>www.psnm.org</w:t>
      </w:r>
      <w:r>
        <w:fldChar w:fldCharType="end"/>
      </w:r>
    </w:p>
    <w:p w14:paraId="449504DC" w14:textId="77777777" w:rsidR="00E13F1B" w:rsidRPr="00D81D86" w:rsidRDefault="00E13F1B" w:rsidP="00E13F1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E0B006E" w14:textId="7045E5FD" w:rsidR="00126374" w:rsidRPr="00D81D86" w:rsidRDefault="00126374" w:rsidP="00E13F1B">
      <w:pPr>
        <w:spacing w:line="276" w:lineRule="auto"/>
        <w:jc w:val="both"/>
        <w:rPr>
          <w:rStyle w:val="normaltextrun"/>
          <w:rFonts w:cstheme="minorHAnsi"/>
          <w:sz w:val="22"/>
          <w:szCs w:val="22"/>
        </w:rPr>
      </w:pPr>
      <w:r w:rsidRPr="00D81D86">
        <w:rPr>
          <w:rFonts w:cstheme="minorHAnsi"/>
          <w:sz w:val="22"/>
          <w:szCs w:val="22"/>
        </w:rPr>
        <w:t>--</w:t>
      </w:r>
    </w:p>
    <w:p w14:paraId="1FDD661E" w14:textId="77777777" w:rsidR="00E13F1B" w:rsidRPr="00D81D86" w:rsidRDefault="00E13F1B" w:rsidP="00E13F1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</w:pPr>
    </w:p>
    <w:p w14:paraId="671C604A" w14:textId="23E83F9E" w:rsidR="00126374" w:rsidRPr="00D81D86" w:rsidRDefault="00126374" w:rsidP="00E13F1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D81D86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lastRenderedPageBreak/>
        <w:t>Kontakt</w:t>
      </w:r>
    </w:p>
    <w:p w14:paraId="46A6D90A" w14:textId="77777777" w:rsidR="00126374" w:rsidRPr="00D81D86" w:rsidRDefault="00126374" w:rsidP="00E13F1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9E12C87" w14:textId="77777777" w:rsidR="00126374" w:rsidRPr="00D81D86" w:rsidRDefault="00126374" w:rsidP="00E13F1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C1B44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Maciej Gis</w:t>
      </w: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, Dyrektor Biura Komunikacji PSNM</w:t>
      </w:r>
    </w:p>
    <w:p w14:paraId="1E75ECFE" w14:textId="2060E61C" w:rsidR="00126374" w:rsidRPr="00D81D86" w:rsidRDefault="00126374" w:rsidP="00E13F1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</w:pP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e-mail: </w:t>
      </w:r>
      <w:hyperlink r:id="rId7" w:history="1">
        <w:r w:rsidRPr="00D81D86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maciej.gis@psnm.org</w:t>
        </w:r>
      </w:hyperlink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; tel.: (+48) 606</w:t>
      </w:r>
      <w:r w:rsid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 </w:t>
      </w: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740 357</w:t>
      </w:r>
    </w:p>
    <w:p w14:paraId="2D119DB9" w14:textId="77777777" w:rsidR="00126374" w:rsidRPr="00D81D86" w:rsidRDefault="00126374" w:rsidP="00E13F1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</w:p>
    <w:p w14:paraId="7364F3B8" w14:textId="77777777" w:rsidR="004C1B44" w:rsidRPr="004C1B44" w:rsidRDefault="004C1B44" w:rsidP="004C1B4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C1B44">
        <w:rPr>
          <w:rFonts w:ascii="Calibri" w:hAnsi="Calibri" w:cs="Calibri"/>
          <w:b/>
          <w:bCs/>
          <w:sz w:val="22"/>
          <w:szCs w:val="22"/>
        </w:rPr>
        <w:t>Jan Wiewiór</w:t>
      </w:r>
      <w:r w:rsidRPr="004C1B44">
        <w:rPr>
          <w:rFonts w:ascii="Calibri" w:hAnsi="Calibri" w:cs="Calibri"/>
          <w:sz w:val="22"/>
          <w:szCs w:val="22"/>
        </w:rPr>
        <w:t>, Specjalista ds. PR PSNM</w:t>
      </w:r>
    </w:p>
    <w:p w14:paraId="02E6E238" w14:textId="658CBB87" w:rsidR="004C1B44" w:rsidRPr="004C1B44" w:rsidRDefault="004C1B44" w:rsidP="004C1B44">
      <w:p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4C1B44">
        <w:rPr>
          <w:rFonts w:ascii="Calibri" w:hAnsi="Calibri" w:cs="Calibri"/>
          <w:sz w:val="22"/>
          <w:szCs w:val="22"/>
          <w:lang w:val="en-US"/>
        </w:rPr>
        <w:t xml:space="preserve">e-mail: </w:t>
      </w:r>
      <w:hyperlink r:id="rId8" w:history="1">
        <w:r w:rsidRPr="004C1B44">
          <w:rPr>
            <w:rStyle w:val="Hipercze"/>
            <w:rFonts w:ascii="Calibri" w:hAnsi="Calibri" w:cs="Calibri"/>
            <w:sz w:val="22"/>
            <w:szCs w:val="22"/>
            <w:lang w:val="en-US"/>
          </w:rPr>
          <w:t>jan.wiewior@psnm.org</w:t>
        </w:r>
      </w:hyperlink>
      <w:r w:rsidRPr="004C1B44">
        <w:rPr>
          <w:rFonts w:ascii="Calibri" w:hAnsi="Calibri" w:cs="Calibri"/>
          <w:sz w:val="22"/>
          <w:szCs w:val="22"/>
          <w:lang w:val="en-US"/>
        </w:rPr>
        <w:t>; tel.: (+48) 608 019</w:t>
      </w:r>
      <w:r w:rsidRPr="004C1B44">
        <w:rPr>
          <w:rFonts w:ascii="Calibri" w:hAnsi="Calibri" w:cs="Calibri"/>
          <w:sz w:val="22"/>
          <w:szCs w:val="22"/>
          <w:lang w:val="en-US"/>
        </w:rPr>
        <w:t> </w:t>
      </w:r>
      <w:r w:rsidRPr="004C1B44">
        <w:rPr>
          <w:rFonts w:ascii="Calibri" w:hAnsi="Calibri" w:cs="Calibri"/>
          <w:sz w:val="22"/>
          <w:szCs w:val="22"/>
          <w:lang w:val="en-US"/>
        </w:rPr>
        <w:t>500</w:t>
      </w:r>
    </w:p>
    <w:p w14:paraId="305BD977" w14:textId="77777777" w:rsidR="00126374" w:rsidRPr="00D81D86" w:rsidRDefault="00126374" w:rsidP="00E13F1B">
      <w:pPr>
        <w:spacing w:line="276" w:lineRule="auto"/>
        <w:rPr>
          <w:rFonts w:cstheme="minorHAnsi"/>
          <w:sz w:val="22"/>
          <w:szCs w:val="22"/>
          <w:lang w:val="en-US"/>
        </w:rPr>
      </w:pPr>
    </w:p>
    <w:p w14:paraId="7DD81F30" w14:textId="77777777" w:rsidR="00324BEB" w:rsidRPr="00D81D86" w:rsidRDefault="00324BEB" w:rsidP="00E13F1B">
      <w:pPr>
        <w:spacing w:line="276" w:lineRule="auto"/>
        <w:rPr>
          <w:rFonts w:cstheme="minorHAnsi"/>
          <w:sz w:val="22"/>
          <w:szCs w:val="22"/>
          <w:lang w:val="en-US"/>
        </w:rPr>
      </w:pPr>
    </w:p>
    <w:sectPr w:rsidR="00324BEB" w:rsidRPr="00D81D86" w:rsidSect="00232820">
      <w:headerReference w:type="default" r:id="rId9"/>
      <w:footerReference w:type="default" r:id="rId10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C790" w14:textId="77777777" w:rsidR="00782FFC" w:rsidRDefault="00782FFC" w:rsidP="00096C4B">
      <w:r>
        <w:separator/>
      </w:r>
    </w:p>
  </w:endnote>
  <w:endnote w:type="continuationSeparator" w:id="0">
    <w:p w14:paraId="33A94B88" w14:textId="77777777" w:rsidR="00782FFC" w:rsidRDefault="00782FFC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6A9A" w14:textId="77777777" w:rsidR="00782FFC" w:rsidRDefault="00782FFC" w:rsidP="00096C4B">
      <w:r>
        <w:separator/>
      </w:r>
    </w:p>
  </w:footnote>
  <w:footnote w:type="continuationSeparator" w:id="0">
    <w:p w14:paraId="67CFF4E4" w14:textId="77777777" w:rsidR="00782FFC" w:rsidRDefault="00782FFC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291"/>
    <w:multiLevelType w:val="hybridMultilevel"/>
    <w:tmpl w:val="D1D68274"/>
    <w:lvl w:ilvl="0" w:tplc="3EB4C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290D"/>
    <w:multiLevelType w:val="multilevel"/>
    <w:tmpl w:val="225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45FA9"/>
    <w:multiLevelType w:val="hybridMultilevel"/>
    <w:tmpl w:val="5926810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FF467AA"/>
    <w:multiLevelType w:val="hybridMultilevel"/>
    <w:tmpl w:val="8304D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516">
    <w:abstractNumId w:val="2"/>
  </w:num>
  <w:num w:numId="2" w16cid:durableId="598030899">
    <w:abstractNumId w:val="0"/>
  </w:num>
  <w:num w:numId="3" w16cid:durableId="1264149929">
    <w:abstractNumId w:val="3"/>
  </w:num>
  <w:num w:numId="4" w16cid:durableId="77918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231A0"/>
    <w:rsid w:val="000328CD"/>
    <w:rsid w:val="00042879"/>
    <w:rsid w:val="00053D50"/>
    <w:rsid w:val="0005420B"/>
    <w:rsid w:val="000608F2"/>
    <w:rsid w:val="000852D5"/>
    <w:rsid w:val="00086AD5"/>
    <w:rsid w:val="0009580A"/>
    <w:rsid w:val="00096C4B"/>
    <w:rsid w:val="000B3DC3"/>
    <w:rsid w:val="000B6186"/>
    <w:rsid w:val="000C0FE4"/>
    <w:rsid w:val="000C3267"/>
    <w:rsid w:val="000F30C5"/>
    <w:rsid w:val="00126374"/>
    <w:rsid w:val="001277DD"/>
    <w:rsid w:val="00127973"/>
    <w:rsid w:val="00132E90"/>
    <w:rsid w:val="001553E0"/>
    <w:rsid w:val="00166A5C"/>
    <w:rsid w:val="00175C02"/>
    <w:rsid w:val="00176404"/>
    <w:rsid w:val="001870E0"/>
    <w:rsid w:val="001A61BF"/>
    <w:rsid w:val="001A7BE5"/>
    <w:rsid w:val="001C30D0"/>
    <w:rsid w:val="001C740B"/>
    <w:rsid w:val="0020362F"/>
    <w:rsid w:val="00211AB3"/>
    <w:rsid w:val="002174DC"/>
    <w:rsid w:val="00232151"/>
    <w:rsid w:val="00232820"/>
    <w:rsid w:val="00235481"/>
    <w:rsid w:val="00240A22"/>
    <w:rsid w:val="002436DA"/>
    <w:rsid w:val="00247927"/>
    <w:rsid w:val="00287DD2"/>
    <w:rsid w:val="002D349F"/>
    <w:rsid w:val="002F6E9C"/>
    <w:rsid w:val="00307DC8"/>
    <w:rsid w:val="00307E07"/>
    <w:rsid w:val="00315D33"/>
    <w:rsid w:val="00324BEB"/>
    <w:rsid w:val="003A092F"/>
    <w:rsid w:val="003B04E3"/>
    <w:rsid w:val="003B3E0E"/>
    <w:rsid w:val="003B7223"/>
    <w:rsid w:val="00406F68"/>
    <w:rsid w:val="0041588F"/>
    <w:rsid w:val="004201E1"/>
    <w:rsid w:val="00422242"/>
    <w:rsid w:val="004456A2"/>
    <w:rsid w:val="004533D9"/>
    <w:rsid w:val="004624F6"/>
    <w:rsid w:val="004628BA"/>
    <w:rsid w:val="00465ACC"/>
    <w:rsid w:val="004954D9"/>
    <w:rsid w:val="004B40C0"/>
    <w:rsid w:val="004B52B3"/>
    <w:rsid w:val="004C03FC"/>
    <w:rsid w:val="004C1B44"/>
    <w:rsid w:val="004D1C45"/>
    <w:rsid w:val="004F24F8"/>
    <w:rsid w:val="0051541F"/>
    <w:rsid w:val="00520573"/>
    <w:rsid w:val="00520960"/>
    <w:rsid w:val="00520EA9"/>
    <w:rsid w:val="00532FE6"/>
    <w:rsid w:val="005375CD"/>
    <w:rsid w:val="005404E1"/>
    <w:rsid w:val="00551AB0"/>
    <w:rsid w:val="0056239B"/>
    <w:rsid w:val="00570F09"/>
    <w:rsid w:val="005B145E"/>
    <w:rsid w:val="005B779A"/>
    <w:rsid w:val="005D1E03"/>
    <w:rsid w:val="005E2DFC"/>
    <w:rsid w:val="006127D0"/>
    <w:rsid w:val="00620409"/>
    <w:rsid w:val="0062565F"/>
    <w:rsid w:val="00641BFD"/>
    <w:rsid w:val="00643FAB"/>
    <w:rsid w:val="006504A6"/>
    <w:rsid w:val="00653CE5"/>
    <w:rsid w:val="006542FD"/>
    <w:rsid w:val="006549A8"/>
    <w:rsid w:val="00690DFE"/>
    <w:rsid w:val="006948B2"/>
    <w:rsid w:val="006B11E5"/>
    <w:rsid w:val="006B409F"/>
    <w:rsid w:val="006C497D"/>
    <w:rsid w:val="006E370B"/>
    <w:rsid w:val="006E4B5C"/>
    <w:rsid w:val="006F7235"/>
    <w:rsid w:val="00701CBF"/>
    <w:rsid w:val="00716957"/>
    <w:rsid w:val="0072608F"/>
    <w:rsid w:val="0073311B"/>
    <w:rsid w:val="00744978"/>
    <w:rsid w:val="00782FFC"/>
    <w:rsid w:val="00790C55"/>
    <w:rsid w:val="007A5136"/>
    <w:rsid w:val="007A7D18"/>
    <w:rsid w:val="007B6846"/>
    <w:rsid w:val="007C0B40"/>
    <w:rsid w:val="00802D9B"/>
    <w:rsid w:val="00832C9A"/>
    <w:rsid w:val="008348B6"/>
    <w:rsid w:val="00895EAE"/>
    <w:rsid w:val="008A2C3B"/>
    <w:rsid w:val="008B2E91"/>
    <w:rsid w:val="008F2ABA"/>
    <w:rsid w:val="009113D2"/>
    <w:rsid w:val="00942AE5"/>
    <w:rsid w:val="0095293A"/>
    <w:rsid w:val="009608C1"/>
    <w:rsid w:val="00970F84"/>
    <w:rsid w:val="0098295C"/>
    <w:rsid w:val="00995AEF"/>
    <w:rsid w:val="009A158F"/>
    <w:rsid w:val="009D6ADA"/>
    <w:rsid w:val="009F2E7C"/>
    <w:rsid w:val="00A15773"/>
    <w:rsid w:val="00A23156"/>
    <w:rsid w:val="00A42383"/>
    <w:rsid w:val="00A53BAB"/>
    <w:rsid w:val="00A54804"/>
    <w:rsid w:val="00A61088"/>
    <w:rsid w:val="00A961B6"/>
    <w:rsid w:val="00AA123E"/>
    <w:rsid w:val="00AB2D7C"/>
    <w:rsid w:val="00AC5B18"/>
    <w:rsid w:val="00AD5F17"/>
    <w:rsid w:val="00B21CF9"/>
    <w:rsid w:val="00B32E55"/>
    <w:rsid w:val="00B72116"/>
    <w:rsid w:val="00B72724"/>
    <w:rsid w:val="00B77548"/>
    <w:rsid w:val="00B94DF6"/>
    <w:rsid w:val="00B95444"/>
    <w:rsid w:val="00B966E9"/>
    <w:rsid w:val="00BA4AED"/>
    <w:rsid w:val="00BB4AE1"/>
    <w:rsid w:val="00BC2E33"/>
    <w:rsid w:val="00C10E8F"/>
    <w:rsid w:val="00C12DF2"/>
    <w:rsid w:val="00C1492F"/>
    <w:rsid w:val="00C362D4"/>
    <w:rsid w:val="00C44B15"/>
    <w:rsid w:val="00C56F49"/>
    <w:rsid w:val="00C61704"/>
    <w:rsid w:val="00C91224"/>
    <w:rsid w:val="00CB676E"/>
    <w:rsid w:val="00CD7E03"/>
    <w:rsid w:val="00CF23AD"/>
    <w:rsid w:val="00D42FF2"/>
    <w:rsid w:val="00D75309"/>
    <w:rsid w:val="00D76F5E"/>
    <w:rsid w:val="00D81D86"/>
    <w:rsid w:val="00D924DB"/>
    <w:rsid w:val="00DD436D"/>
    <w:rsid w:val="00DE5BBF"/>
    <w:rsid w:val="00DF6251"/>
    <w:rsid w:val="00E13F1B"/>
    <w:rsid w:val="00E444FC"/>
    <w:rsid w:val="00E4516D"/>
    <w:rsid w:val="00E51843"/>
    <w:rsid w:val="00E947AD"/>
    <w:rsid w:val="00EA6528"/>
    <w:rsid w:val="00EB0C22"/>
    <w:rsid w:val="00EB5C65"/>
    <w:rsid w:val="00EC7F21"/>
    <w:rsid w:val="00ED18FA"/>
    <w:rsid w:val="00ED5D23"/>
    <w:rsid w:val="00ED789D"/>
    <w:rsid w:val="00EF55F7"/>
    <w:rsid w:val="00F43CB6"/>
    <w:rsid w:val="00F63AD6"/>
    <w:rsid w:val="00F63EF1"/>
    <w:rsid w:val="00F6726F"/>
    <w:rsid w:val="00F96C78"/>
    <w:rsid w:val="00FA3D2D"/>
    <w:rsid w:val="00FA5135"/>
    <w:rsid w:val="00FB553E"/>
    <w:rsid w:val="00FB5FBF"/>
    <w:rsid w:val="00FE292D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link w:val="Nagwek1Znak"/>
    <w:uiPriority w:val="9"/>
    <w:qFormat/>
    <w:rsid w:val="008348B6"/>
    <w:pPr>
      <w:spacing w:before="240" w:after="200"/>
      <w:outlineLvl w:val="0"/>
    </w:pPr>
    <w:rPr>
      <w:rFonts w:ascii="Arial" w:eastAsia="Arial" w:hAnsi="Arial" w:cs="Arial"/>
      <w:b/>
      <w:bCs/>
      <w:sz w:val="32"/>
      <w:szCs w:val="32"/>
      <w:lang w:eastAsia="pl-PL"/>
    </w:rPr>
  </w:style>
  <w:style w:type="paragraph" w:styleId="Nagwek2">
    <w:name w:val="heading 2"/>
    <w:link w:val="Nagwek2Znak"/>
    <w:uiPriority w:val="9"/>
    <w:unhideWhenUsed/>
    <w:qFormat/>
    <w:rsid w:val="008348B6"/>
    <w:pPr>
      <w:spacing w:before="200" w:after="120"/>
      <w:outlineLvl w:val="1"/>
    </w:pPr>
    <w:rPr>
      <w:rFonts w:ascii="Arial" w:eastAsia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basedOn w:val="Normalny"/>
    <w:uiPriority w:val="34"/>
    <w:qFormat/>
    <w:rsid w:val="00406F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0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2AE5"/>
  </w:style>
  <w:style w:type="paragraph" w:customStyle="1" w:styleId="paragraph">
    <w:name w:val="paragraph"/>
    <w:basedOn w:val="Normalny"/>
    <w:rsid w:val="001263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126374"/>
  </w:style>
  <w:style w:type="paragraph" w:customStyle="1" w:styleId="whitespace-normal">
    <w:name w:val="whitespace-normal"/>
    <w:basedOn w:val="Normalny"/>
    <w:rsid w:val="004533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ogrubienie">
    <w:name w:val="Strong"/>
    <w:basedOn w:val="Domylnaczcionkaakapitu"/>
    <w:uiPriority w:val="22"/>
    <w:qFormat/>
    <w:rsid w:val="004533D9"/>
    <w:rPr>
      <w:b/>
      <w:bCs/>
    </w:rPr>
  </w:style>
  <w:style w:type="character" w:styleId="Uwydatnienie">
    <w:name w:val="Emphasis"/>
    <w:basedOn w:val="Domylnaczcionkaakapitu"/>
    <w:uiPriority w:val="20"/>
    <w:qFormat/>
    <w:rsid w:val="004533D9"/>
    <w:rPr>
      <w:i/>
      <w:iCs/>
    </w:rPr>
  </w:style>
  <w:style w:type="paragraph" w:styleId="NormalnyWeb">
    <w:name w:val="Normal (Web)"/>
    <w:basedOn w:val="Normalny"/>
    <w:uiPriority w:val="99"/>
    <w:unhideWhenUsed/>
    <w:rsid w:val="004533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8348B6"/>
    <w:rPr>
      <w:rFonts w:ascii="Arial" w:eastAsia="Arial" w:hAnsi="Arial" w:cs="Arial"/>
      <w:b/>
      <w:bCs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48B6"/>
    <w:rPr>
      <w:rFonts w:ascii="Arial" w:eastAsia="Arial" w:hAnsi="Arial" w:cs="Arial"/>
      <w:b/>
      <w:bCs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34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wiewior@psn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iej.gis@psnm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3</cp:revision>
  <dcterms:created xsi:type="dcterms:W3CDTF">2026-05-28T09:09:00Z</dcterms:created>
  <dcterms:modified xsi:type="dcterms:W3CDTF">2026-05-28T09:10:00Z</dcterms:modified>
</cp:coreProperties>
</file>