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Oświadczenie Fundacji Avalon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2024-01-31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Z zaskoczeniem i niedowierzaniem przyjęliśmy wypowiedź Pani Posłanki Iwony Hartwich w Radiu Zet, w której wspomniała, że ciężko jest porównać pracę osoby z niepełnosprawnością do pracy wykonywanej przez osoby pełnosprawne i wskazała, że praca ta stanowi co najwyżej formę uspołeczniania OzN. Jako organizacja prowadzona przez osobę z niepełnosprawnością, zatrudniająca OzN i działająca od kilkunastu lat na rzecz ich wsparcia i zmiany ich postrzegania przez polskie społeczeństwo, pragniemy wyrazić nasz sprzeciw wobec głoszenia i stawiania takich tez. Wierzymy i wiemy, że osoba z niepełnosprawnością może być aktywna w każdej sferze życia, także tej zawodowej.</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Praca dla osób z niepełnosprawnościami, podobnie jak dla każdego człowieka, to źródło utrzymania, niezależności, możliwości rozwoju osobistego, realizacji swoich umiejętności, ambicji, a także marzeń. To oczywiście także miejsce nawiązywania kontaktów i relacji międzyludzkich. Praca jednak jest pracą, a dla osób z niepełnosprawnościami to sposób na zdobycie środków na normalne, aktywne życie oraz na realizację swojej roli w społeczeństwie.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Od posłanki – osoby, która swoimi słowami reprezentuje wyborców w sposób szczególny – wymaga się, by używała języka inkluzywnego, w żaden sposób niewykluczającego. Nie należy zatem generalizować i swoimi wypowiedziami krzywdzić ludzi, którzy wkładają bardzo dużo pracy każdego dnia, by być samodzielnymi. Od posłanki, która uważa się za reprezentanta OzN, wymaga się, by w swoich wypowiedziach pamiętała o wszystkich OzN.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Osoby z niepełnosprawnościami nie powinny być traktowane inaczej niż inni pracownicy, a celowość oraz wartość ich pracy nie mogą być umniejszane czy postrzegane przez pryzmat niepełnosprawności. Organizacje pozarządowe, samorzecznicy i liczne środowiska aktywistyczne z nierównym traktowaniem OzN na rynku pracy i w innych wymiarach konsekwentnie walczą od lat. Osoby sprawujące władzę w państwie oraz reprezentujące obywateli nie powinny wygłaszać tego typu osądów, dających umocowanie nierównościom, dyskryminacji na rynku pracy czy w kontekście postrzegania OzN przez społeczeństwo. Zwłaszcza Pani jako posłance i osobie, która twierdzi, że działa w interesie OzN, takie niesprawiedliwe, krzywdzące i upupiające stwierdzenia nie przystoją i są bardzo niebezpieczne.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Od lat jako Fundacja Avalon działamy na rzecz osób z niepełnosprawnościami, by były postrzegane na równi z innymi, by nie były postrzegane przez kontekst niepełnosprawności. Udowadniamy, pokazując prawdziwe przykłady osób z niepełnosprawnościami (podopiecznych, pracowników naszej Fundacji czy sojuszników), że osoba doświadczająca niepełnosprawności może realizować się w każdej płaszczyźnie życia: społecznej, rodzinnej, partnerskiej, sportowej czy zawodowej. Każdego dnia w pracy naszej Fundacji wspieramy OzN poprzez nasze działania i projekty, by mogły godnie, podmiotowo i na równi z osobami pełnosprawnymi realizować siebie i swoje plany życiowe.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naszej organizacji pracują także osoby o różnym stopniu niepełnosprawności, na różnych stanowiskach. Tworzymy środowisko otwarte i dostępne, acz wymagające. W procesach rekrutacyjnych stawiamy na doświadczenie, eksperckość, wiedzę, rozwinięte kompetencje społeczne i szacunek dla wartości, które są dla nas ważne. Uważamy, że takie podejście powinni mieć wszyscy pracodawcy w Polsce, nie tylko organizacje pozarządowe działające na rzecz OzN. Tego typu wypowiedzi są niebezpieczne szczególnie w kontekście i tak niskiego odsetka pracujących OzN. Pracodawcy, słysząc takie słowa, mogą mieć jeszcze mniejszą motywację do zatrudniania i tworzenia przyjaznych i dostosowanych miejsc pracy.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Jednocześnie chcielibyśmy przypomnieć Pani Posłance koncepcję trzech miejsc życia Raya Oldenburga. Te trzy miejsca to dom rodzinny, praca i sfera publiczna, w której odbywa się owo „uspołecznianie”, o którym Pani wspomniała. Tam możemy odpocząć, realizować swoje zainteresowania, tam też spotykamy przyjaciół, podróżujemy, poznajemy siebie nawzajem. To trzecie miejsce jest przestrzenią, która daje nam oddech i siłę napędową do realizowania siebie w pozostałych dwóch.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Bardzo często osoby zniepełnosprawnościami ograniczane sądomiejsca pierwszego – domu rodzinnego, odbierając prawo dopełnego uczestniczenia wpozostałych.Rolą państwa jest dążenie, byotworzyć imdrzwi dodwóch kolejnych. Dotego potrzebne sązrozumienie potrzeb ipostawa wspierająca, budująca system, wktórymdostępna będzie asystencja osobista, zlikwidowana zostanie pułapka rentowa, wspierane będzie zatrudnianie OzN wzgodzie zich potencjałem indywidualnym iwktórymwalczy się zkrzywdzącymi stereotypami.Mamy nadzieję, żeswoją pracę poświęci Pani działaniu narzecz osób zniepełnosprawnościami wtaki sposób, bymogły mieć bezpieczny iwspierający dom rodzinny, pracę dostosowaną doich możliwości idającą godne isprawiedliwe wynagrodzenie orazdostępną trzecią sferę, wktórejswobodnie będą mogły się uspołeczniać zkorzyścią własną inas wszystkich. Zwyrazami szacunku,Fundacja Avalon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aktywizację OzN a także zmianę postrzegania osób z niepełnosprawnościami w polskim społeczeństwie. Fundacja Avalon aktualnie wspiera około 14 000 osób z całej Polski. Łączna wartość pomocy udzielonej przez Fundację swoim podopiecznym wynosi blisko 400 mln.</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40c9d48adb7c37c8c0d00e6be6b81a1005ef07f5588162433410c6281c7d85d4oswiadczenie-fundacji-avalon20260220-8-31als9.docx</dc:title>
</cp:coreProperties>
</file>

<file path=docProps/custom.xml><?xml version="1.0" encoding="utf-8"?>
<Properties xmlns="http://schemas.openxmlformats.org/officeDocument/2006/custom-properties" xmlns:vt="http://schemas.openxmlformats.org/officeDocument/2006/docPropsVTypes"/>
</file>