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Národní muzeum ve spolupráci s Mattoni 1873 vystavilo první udržitelnou kolekci oděvů od designéra ve své sbírce 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Praha, 10. října 2023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Návštěvníci Národního muzea si již nyní ve východní dvoraně Historické budovy mohou prohlédnout módní kolekci, jež do sbírky muzea věnovala společnost Mattoni 1873. Jedná se o pět unikátních modelů, které vznikly při příležitosti letošního 150. výročí založení společnosti a odráží stěžejní hodnoty Mattoni spojené s ekologií a cirkularitou. Jde tak o první udržitelnou kolekci modelů od designéra ve sbírce Národního muzea.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jc w:val="both"/>
        <w:rPr>
          <w:rFonts w:ascii="Century Gothic" w:cs="Century Gothic" w:eastAsia="Century Gothic" w:hAnsi="Century Gothic"/>
          <w:b w:val="1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Národní muzeum i Mattoni 1873 shodně vyznávají hodnoty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udržitelnosti a ochrany životního prostředí, na nichž postavily i své partnerství uzavřené na jaře letošního roku.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0"/>
          <w:szCs w:val="20"/>
          <w:rtl w:val="0"/>
        </w:rPr>
        <w:t xml:space="preserve">„Národní muzeum jakožto moderní instituce přijalo v loňském roce Koncepci udržitelného rozvoje. I ve svých projektech se proto snažíme akcentovat témata ochrany životního prostředí. Zaměřili jsme se na recyklaci a ekologickou likvidaci materiálů použitých pro realizaci výstav. Zhruba rok měli návštěvníci Národního muzea možnost zhlédnout výstavu ZeMě, která se zabývala čistě tématem udržitelnosti a ochranou klimatu. Spolupráce se společností Mattoni 1873 a podílení se na jejích projektech je tak dalším logickým krokem, ať už jde o umístění automatu na recyklaci lahví v Nové budově Národního muzea či představení historicky první udržitelné kolekce módy,“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říká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generální ředitel Národního muzea Michal Lukeš.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Century Gothic" w:cs="Century Gothic" w:eastAsia="Century Gothic" w:hAnsi="Century Gothic"/>
          <w:b w:val="1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Kolekce, kterou Mattoni Národnímu muzeu věnovala, vznikla ku příležitosti 150. výročí založení společnosti.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20"/>
          <w:szCs w:val="20"/>
          <w:rtl w:val="0"/>
        </w:rPr>
        <w:t xml:space="preserve">„Celý letošní rok Mattoni provází výroční akce zaměřené nejen na naši bohatou minulost, ale také na dlouhodobou snahu o lepší budoucnost. A právě tyto hodnoty odráží i celá kolekce. Jsem proto nadšený, že jsme ji mohli věnovat právě Národnímu muzeu. Neumím si představit vhodnější a důstojnější místo, kde by mohla i nadále připomínat důležitost historie i nutnost opatření, která bychom měli všichni přijmout, abychom ochránili naši drahocennou modrou planetu,“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 říká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Alessandro Pasquale, majitel společnosti Mattoni 1873.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Fashion capsule* s názvem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LUKASMACHACEK MATTONI LIFE 150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 obsahuje 5 jedinečných modelů – 4 dámské a 1 pánský. Modely inspirované minerální vodou Mattoni se nesou v duchu vodní tématiky, která se projevuje jak v jejich barevnosti, tak ve střizích. Vytvářeny byly s myšlenkou udržitelnosti, a to nejen ve smyslu použitých materiálů, ale hlavně střihů, které jsou nadčasové, tak aby byly trendy i po několik let či generací.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20"/>
          <w:szCs w:val="20"/>
          <w:rtl w:val="0"/>
        </w:rPr>
        <w:t xml:space="preserve">„Nikdy by mě nenapadlo, že šaty z mé dílny budou vystaveny v muzeu, natož pak v Národním. Ale díky tomu, že se nám s Mattoni podařilo vtisknout kolekci důležité hodnoty a příběh, si mé šaty mohou návštěvníci Národního muzea prohlédnout přímo v nádherné dvoraně. Je to pro mě obrovská pocta i proto, že díla současných návrhářů se ve sbírce Národního muzea obvykle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20"/>
          <w:szCs w:val="20"/>
          <w:rtl w:val="0"/>
        </w:rPr>
        <w:t xml:space="preserve">neobjevují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20"/>
          <w:szCs w:val="20"/>
          <w:rtl w:val="0"/>
        </w:rPr>
        <w:t xml:space="preserve">. A krásnou třešničkou na dortu je i to, že díky ústřednímu modelu celé kolekce Mattoni v aukci přispěla na dobrou věc,“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 uvádí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módní návrhář a autor kolekce Lukáš Macháček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Ústředním modelem kolekce, která byla poprvé představena v rámci 57. ročníku Mezinárodního filmového festivalu Karlovy Vary, jsou tzv.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„vodní“ šaty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 inspirované ikonickou reklamou s topmodelkou Hanou Soukupovou oděnou pouze do vody evokující šaty.  Ty na festivalu poprvé vynesla na světlo světa topmodelka Pavlína Němcová a Mattoni model následně věnovala do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aukce na podporu Klubu cystické fibrózy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20"/>
          <w:szCs w:val="20"/>
          <w:rtl w:val="0"/>
        </w:rPr>
        <w:t xml:space="preserve">„Chtěli jsme však, aby celá kolekce zůstala pohromadě. Rozhodli jsme se proto, že se do aukce sami zapojíme a s potěšením mohu oznámit, že jsme vodní šaty vydražili. Návštěvníci Národního muzea si tak mohou prohlédnout kompletní kolekci a k tomu jsme přispěli nemalou finanční částkou na pomoc nemocným cystickou fibrózou,“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 dodává Alessandro Pasquale.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V průběhu zahájení výstavy v Národním muzeu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Mattoni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 předala i šek na 100 000 Kč, kterými v aukci přispěla Klubu cystické fibrózy.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20"/>
          <w:szCs w:val="20"/>
          <w:rtl w:val="0"/>
        </w:rPr>
        <w:t xml:space="preserve">„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212121"/>
          <w:sz w:val="20"/>
          <w:szCs w:val="20"/>
          <w:rtl w:val="0"/>
        </w:rPr>
        <w:t xml:space="preserve">Naším posláním je pomáhat pacientům s cystickou fibrózou. Cystická fibróza je nevyléčitelné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44546a"/>
          <w:sz w:val="20"/>
          <w:szCs w:val="20"/>
          <w:rtl w:val="0"/>
        </w:rPr>
        <w:t xml:space="preserve">dědičné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212121"/>
          <w:sz w:val="20"/>
          <w:szCs w:val="20"/>
          <w:rtl w:val="0"/>
        </w:rPr>
        <w:t xml:space="preserve"> onemocnění, způsobující pacientům závažné obtíže,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44546a"/>
          <w:sz w:val="20"/>
          <w:szCs w:val="20"/>
          <w:rtl w:val="0"/>
        </w:rPr>
        <w:t xml:space="preserve">zkracuje jejich život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212121"/>
          <w:sz w:val="20"/>
          <w:szCs w:val="20"/>
          <w:rtl w:val="0"/>
        </w:rPr>
        <w:t xml:space="preserve">a léčba je velmi náročná. Děkujeme Mattoni za jejich dar, vážíme si jej a věříme, že „Vodní šaty Mattoni“ budou připomínkou naší spolupráce a pomoci pacientům s cystickou fibrózou,”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říká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ředitelka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Klubu cystické fibrózy Mgr. Simona Zábranská.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Získané finanční prostředky organizace využije na nákup léků, psychologickou péči a podporu výzkumu.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*Fashion capsule – kolekce o menším počtu kusů, většinou vytvořena mimo hlavní módní sezonu, často ve spojitosti s jinými značkami či tématy.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entury Gothic" w:cs="Century Gothic" w:eastAsia="Century Gothic" w:hAnsi="Century Gothic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entury Gothic" w:cs="Century Gothic" w:eastAsia="Century Gothic" w:hAnsi="Century Gothic"/>
          <w:b w:val="1"/>
          <w:sz w:val="18"/>
          <w:szCs w:val="18"/>
          <w:u w:val="single"/>
        </w:rPr>
        <w:sectPr>
          <w:head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u w:val="single"/>
          <w:rtl w:val="0"/>
        </w:rPr>
        <w:t xml:space="preserve">Kontakty pro média: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Mgr. Kristina Kvapilová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Vedoucí Oddělení vnějších vztahů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NÁRODNÍ MUZEUM      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Tel.: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+420 731 514 077          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E-mail: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kristina.kvapilova@nm.cz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Lutfia Volfová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Tisková mluvčí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Mattoni 1873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Tel.: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+420 607 602 328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  <w:sectPr>
          <w:type w:val="continuous"/>
          <w:pgSz w:h="16838" w:w="11906" w:orient="portrait"/>
          <w:pgMar w:bottom="1417" w:top="1417" w:left="1417" w:right="1417" w:header="708" w:footer="708"/>
          <w:pgNumType w:start="1"/>
          <w:cols w:equalWidth="0" w:num="2">
            <w:col w:space="708" w:w="4181.999999999999"/>
            <w:col w:space="0" w:w="4181.999999999999"/>
          </w:cols>
        </w:sect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E-mail: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lutfia.volfova@mattoni.cz </w:t>
      </w:r>
    </w:p>
    <w:p w:rsidR="00000000" w:rsidDel="00000000" w:rsidP="00000000" w:rsidRDefault="00000000" w:rsidRPr="00000000" w14:paraId="00000016">
      <w:pPr>
        <w:spacing w:after="120" w:before="480" w:line="240" w:lineRule="auto"/>
        <w:jc w:val="both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O Národním muzeu</w:t>
      </w:r>
    </w:p>
    <w:p w:rsidR="00000000" w:rsidDel="00000000" w:rsidP="00000000" w:rsidRDefault="00000000" w:rsidRPr="00000000" w14:paraId="00000017">
      <w:pPr>
        <w:spacing w:after="8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Národní muzeum je nejvýznamnější českou muzejní institucí, která plní funkci sbírkotvornou, vědeckou, osvětovou a metodickou. Muzeum bylo založeno roku 1818 pod názvem Vlastenské muzeum v Čechách. U jeho zrodu stáli zástupci tehdejší české akademické veřejnosti a především šlechty. I přes 205 let své existence je stále progresivní institucí hledící do budoucnosti. Své sbírky prezentuje moderním a interaktivním způsobem prostřednictvím expozic i krátkodobých výstav.</w:t>
      </w:r>
    </w:p>
    <w:p w:rsidR="00000000" w:rsidDel="00000000" w:rsidP="00000000" w:rsidRDefault="00000000" w:rsidRPr="00000000" w14:paraId="00000018">
      <w:pPr>
        <w:spacing w:after="8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Národní muzeum se skládá z pěti odborných, do jisté míry samostatných ústavů: Přírodovědeckého muzea, Historického muzea, Českého muzea hudby, Náprstkova muzea asijských, afrických a amerických kultur a Knihovny Národního muzea. </w:t>
      </w:r>
    </w:p>
    <w:p w:rsidR="00000000" w:rsidDel="00000000" w:rsidP="00000000" w:rsidRDefault="00000000" w:rsidRPr="00000000" w14:paraId="00000019">
      <w:pPr>
        <w:spacing w:after="8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V rámci své činnosti sbírá, zkoumá a prezentuje artefakty z přírodovědeckých, historických i uměleckých oborů, které vystavuje v 16 objektech a ochraňuje v několika samostatných depozitářích.  Jeho sbírky ukrývají více než dvacet milionů předmětů. Od roku 1891 sídlí Národní muzeum v monumentální novorenesanční budově v horní části Václavského náměstí v Praze. V roce 2009 získalo Národní muzeum usnesením vlády pro svou výstavní činnost také budovu bývalé Svobodné Evropy, kterou se při rekonstrukci podařilo propojit s Historickou budovou podzemním tunelem. </w:t>
      </w:r>
    </w:p>
    <w:p w:rsidR="00000000" w:rsidDel="00000000" w:rsidP="00000000" w:rsidRDefault="00000000" w:rsidRPr="00000000" w14:paraId="0000001A">
      <w:pPr>
        <w:spacing w:after="24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K výsledkům jeho vědeckého bádání patří například objev nejstarší známé cévnaté suchozemské rostliny světa Cooksonia barrandien.</w:t>
      </w:r>
    </w:p>
    <w:p w:rsidR="00000000" w:rsidDel="00000000" w:rsidP="00000000" w:rsidRDefault="00000000" w:rsidRPr="00000000" w14:paraId="0000001B">
      <w:pPr>
        <w:spacing w:after="120" w:line="240" w:lineRule="auto"/>
        <w:jc w:val="both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150 let Mattoni</w:t>
      </w:r>
    </w:p>
    <w:p w:rsidR="00000000" w:rsidDel="00000000" w:rsidP="00000000" w:rsidRDefault="00000000" w:rsidRPr="00000000" w14:paraId="0000001C">
      <w:pPr>
        <w:spacing w:after="8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Mattoni, ikonická značka neodmyslitelně spojená s motivem orla již od roku 1873, se za 150 let své existence stala synonymem pro minerálku. Unikátní minerální voda s nezaměnitelnou chutí se rodí v hloubce 125 až 230 metrů v panenské přírodě u Karlových Varů. Jedinečná poloha na rozhraní Krušných a Doupovských hor jí dává střední mineralizaci s vyváženým poměrem vápníku, hořčíku a draslíku pro každý den. Mattoni přináší tu nejkvalitnější vodu pro zdraví, jež je dostupná v přírodní neperlivé, jemně perlivé i perlivé variantě a v široké škále příchutí. Limitovaná edice Mattoni Extra perlivá přináší 150% perlivost ke 150. výročí Mattoni.</w:t>
      </w:r>
    </w:p>
    <w:p w:rsidR="00000000" w:rsidDel="00000000" w:rsidP="00000000" w:rsidRDefault="00000000" w:rsidRPr="00000000" w14:paraId="0000001D">
      <w:pPr>
        <w:spacing w:after="8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Před 150 lety se na Karlovarsku zrodila nápojová firma úspěšného podnikatele a vizionáře Heinricha Mattoniho, který svou neutuchající pílí brzy dosáhl mezinárodního úspěchu. Na tradici rodinné firmy H. Mattoniho navazuje dnešní společnost Mattoni 1873. Z jedné stáčírny minerální vody se postupně rozrostla na lídra středoevropského trhu nealkoholických nápojů s 11 závody v 8 zemích. Přitom si stále zakládá na rodinných hodnotách a chová úctu jak k zakladateli své historie, tak ke karlovarskému regionu.  Současnou podobu získala v 90. letech díky výrazným investicím italské rodiny Pasquale. Produkty vyváží do 19 zemí světa a vlastní zahraniční značky minerálních vod v Rakousku, Maďarsku a Srbsku. V ČR, Maďarsku, Srbsku, Černé hoře, Bulharsku a na Slovensku je výhradním výrobcem a distributorem nealkoholických nápojů a pochutin značek firmy PepsiCo.</w:t>
      </w:r>
    </w:p>
    <w:p w:rsidR="00000000" w:rsidDel="00000000" w:rsidP="00000000" w:rsidRDefault="00000000" w:rsidRPr="00000000" w14:paraId="0000001E">
      <w:pPr>
        <w:spacing w:after="8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Motto značky „Mattoni je život“ rezonuje v dlouhodobé podpoře kulturního a společenského života v České republice. Mattoni 1873 se zaměřuje i na aktivity spojené s ochranou přírody a otázkou ekologie.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13160</wp:posOffset>
          </wp:positionH>
          <wp:positionV relativeFrom="paragraph">
            <wp:posOffset>304800</wp:posOffset>
          </wp:positionV>
          <wp:extent cx="2733993" cy="839146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3993" cy="8391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3689984</wp:posOffset>
          </wp:positionH>
          <wp:positionV relativeFrom="paragraph">
            <wp:posOffset>167005</wp:posOffset>
          </wp:positionV>
          <wp:extent cx="2070735" cy="1113155"/>
          <wp:effectExtent b="0" l="0" r="0" t="0"/>
          <wp:wrapTopAndBottom distB="0" distT="0"/>
          <wp:docPr descr="Obsah obrázku logo&#10;&#10;Popis byl vytvořen automaticky" id="7" name="image1.png"/>
          <a:graphic>
            <a:graphicData uri="http://schemas.openxmlformats.org/drawingml/2006/picture">
              <pic:pic>
                <pic:nvPicPr>
                  <pic:cNvPr descr="Obsah obrázku logo&#10;&#10;Popis byl vytvořen automaticky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0735" cy="11131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FMVETabulka1" w:customStyle="1">
    <w:name w:val="FM VŠE: Tabulka 1"/>
    <w:basedOn w:val="Normlntabulka"/>
    <w:uiPriority w:val="99"/>
    <w:rsid w:val="00C701B6"/>
    <w:pPr>
      <w:spacing w:after="0" w:line="240" w:lineRule="auto"/>
    </w:pPr>
    <w:rPr>
      <w:rFonts w:ascii="Cambria" w:cs="Times New Roman" w:hAnsi="Cambria"/>
      <w:sz w:val="20"/>
      <w:szCs w:val="20"/>
    </w:rPr>
    <w:tblPr>
      <w:tblStyleRowBandSize w:val="1"/>
      <w:jc w:val="center"/>
      <w:tblBorders>
        <w:top w:color="auto" w:space="0" w:sz="6" w:val="single"/>
        <w:left w:color="auto" w:space="0" w:sz="6" w:val="single"/>
        <w:bottom w:color="auto" w:space="0" w:sz="6" w:val="single"/>
        <w:right w:color="auto" w:space="0" w:sz="6" w:val="single"/>
        <w:insideH w:color="auto" w:space="0" w:sz="6" w:val="single"/>
        <w:insideV w:color="auto" w:space="0" w:sz="6" w:val="single"/>
      </w:tblBorders>
      <w:tblCellMar>
        <w:left w:w="0.0" w:type="dxa"/>
        <w:right w:w="0.0" w:type="dxa"/>
      </w:tblCellMar>
    </w:tblPr>
    <w:trPr>
      <w:jc w:val="center"/>
    </w:trPr>
    <w:tcPr>
      <w:shd w:color="auto" w:fill="ffffff" w:themeFill="background1" w:val="clear"/>
      <w:vAlign w:val="center"/>
    </w:tcPr>
    <w:tblStylePr w:type="firstRow">
      <w:rPr>
        <w:b w:val="1"/>
      </w:rPr>
      <w:tblPr/>
      <w:tcPr>
        <w:shd w:color="auto" w:fill="bfbfbf" w:themeFill="background1" w:themeFillShade="0000BF" w:val="clear"/>
      </w:tcPr>
    </w:tblStylePr>
    <w:tblStylePr w:type="lastRow">
      <w:rPr>
        <w:b w:val="1"/>
      </w:rPr>
      <w:tblPr/>
      <w:tcPr>
        <w:shd w:color="auto" w:fill="bfbfbf" w:themeFill="background1" w:themeFillShade="0000BF" w:val="clear"/>
      </w:tcPr>
    </w:tblStylePr>
    <w:tblStylePr w:type="firstCol">
      <w:rPr>
        <w:b w:val="1"/>
      </w:rPr>
      <w:tblPr/>
      <w:tcPr>
        <w:shd w:color="auto" w:fill="bfbfbf" w:themeFill="background1" w:themeFillShade="0000BF" w:val="clear"/>
      </w:tcPr>
    </w:tblStylePr>
    <w:tblStylePr w:type="lastCol">
      <w:rPr>
        <w:b w:val="1"/>
      </w:rPr>
      <w:tblPr/>
      <w:tcPr>
        <w:shd w:color="auto" w:fill="bfbfbf" w:themeFill="background1" w:themeFillShade="0000BF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wCell">
      <w:tblPr/>
      <w:tcPr>
        <w:shd w:color="auto" w:fill="bfbfbf" w:themeFill="background1" w:themeFillShade="0000BF" w:val="clear"/>
      </w:tcPr>
    </w:tblStylePr>
  </w:style>
  <w:style w:type="character" w:styleId="Zdraznn">
    <w:name w:val="Emphasis"/>
    <w:basedOn w:val="Standardnpsmoodstavce"/>
    <w:uiPriority w:val="20"/>
    <w:qFormat w:val="1"/>
    <w:rsid w:val="007C3FA7"/>
    <w:rPr>
      <w:i w:val="1"/>
      <w:iCs w:val="1"/>
    </w:rPr>
  </w:style>
  <w:style w:type="paragraph" w:styleId="Normlnweb">
    <w:name w:val="Normal (Web)"/>
    <w:basedOn w:val="Normln"/>
    <w:uiPriority w:val="99"/>
    <w:unhideWhenUsed w:val="1"/>
    <w:rsid w:val="008102F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Revize">
    <w:name w:val="Revision"/>
    <w:hidden w:val="1"/>
    <w:uiPriority w:val="99"/>
    <w:semiHidden w:val="1"/>
    <w:rsid w:val="00252D7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A47E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A47E40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A47E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A47E40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A47E40"/>
    <w:rPr>
      <w:b w:val="1"/>
      <w:bCs w:val="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D451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D45156"/>
    <w:rPr>
      <w:rFonts w:ascii="Segoe UI" w:cs="Segoe UI" w:hAnsi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 w:val="1"/>
    <w:rsid w:val="00C5115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51153"/>
  </w:style>
  <w:style w:type="paragraph" w:styleId="Zpat">
    <w:name w:val="footer"/>
    <w:basedOn w:val="Normln"/>
    <w:link w:val="ZpatChar"/>
    <w:uiPriority w:val="99"/>
    <w:unhideWhenUsed w:val="1"/>
    <w:rsid w:val="00C5115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51153"/>
  </w:style>
  <w:style w:type="paragraph" w:styleId="paragraph" w:customStyle="1">
    <w:name w:val="paragraph"/>
    <w:basedOn w:val="Normln"/>
    <w:rsid w:val="003D3937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HAnsi"/>
      <w:sz w:val="24"/>
      <w:szCs w:val="24"/>
    </w:rPr>
  </w:style>
  <w:style w:type="character" w:styleId="Hypertextovodkaz">
    <w:name w:val="Hyperlink"/>
    <w:uiPriority w:val="99"/>
    <w:unhideWhenUsed w:val="1"/>
    <w:rsid w:val="00346D1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FC2EDF"/>
    <w:rPr>
      <w:color w:val="954f72" w:themeColor="followedHyperlink"/>
      <w:u w:val="single"/>
    </w:rPr>
  </w:style>
  <w:style w:type="paragraph" w:styleId="xmsolistparagraph" w:customStyle="1">
    <w:name w:val="x_msolistparagraph"/>
    <w:basedOn w:val="Normln"/>
    <w:rsid w:val="007966B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461AD5"/>
    <w:rPr>
      <w:color w:val="605e5c"/>
      <w:shd w:color="auto" w:fill="e1dfdd" w:val="clear"/>
    </w:rPr>
  </w:style>
  <w:style w:type="character" w:styleId="normaltextrun" w:customStyle="1">
    <w:name w:val="normaltextrun"/>
    <w:basedOn w:val="Standardnpsmoodstavce"/>
    <w:rsid w:val="006D781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28R+NZyyLLA8qWFfMGFDRGMq7g==">CgMxLjA4AHIhMUhRNmFwc2FnYVN6emhZX3lFOGZoZUplM3JRNVBOUkJr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2023-09-25T04:40:00Z</dcterms:created>
  <dc:creator>Viktorie</dc:creator>
</cp:coreProperties>
</file>