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95A478" w14:textId="251A1881" w:rsidR="00A450BA" w:rsidRPr="003F4702" w:rsidRDefault="00A450BA" w:rsidP="002518C9">
      <w:pPr>
        <w:spacing w:line="276" w:lineRule="auto"/>
        <w:jc w:val="right"/>
        <w:rPr>
          <w:rFonts w:cstheme="minorHAnsi"/>
          <w:sz w:val="22"/>
          <w:szCs w:val="22"/>
        </w:rPr>
      </w:pPr>
      <w:r w:rsidRPr="003F4702">
        <w:rPr>
          <w:rFonts w:cstheme="minorHAnsi"/>
          <w:b/>
          <w:bCs/>
          <w:sz w:val="22"/>
          <w:szCs w:val="22"/>
        </w:rPr>
        <w:t xml:space="preserve">Warszawa | </w:t>
      </w:r>
      <w:r w:rsidR="003F4702">
        <w:rPr>
          <w:rFonts w:cstheme="minorHAnsi"/>
          <w:b/>
          <w:bCs/>
          <w:sz w:val="22"/>
          <w:szCs w:val="22"/>
        </w:rPr>
        <w:t>1</w:t>
      </w:r>
      <w:r w:rsidR="00564355">
        <w:rPr>
          <w:rFonts w:cstheme="minorHAnsi"/>
          <w:b/>
          <w:bCs/>
          <w:sz w:val="22"/>
          <w:szCs w:val="22"/>
        </w:rPr>
        <w:t>6</w:t>
      </w:r>
      <w:r w:rsidRPr="003F4702">
        <w:rPr>
          <w:rFonts w:cstheme="minorHAnsi"/>
          <w:b/>
          <w:bCs/>
          <w:sz w:val="22"/>
          <w:szCs w:val="22"/>
        </w:rPr>
        <w:t xml:space="preserve"> </w:t>
      </w:r>
      <w:r w:rsidR="00BD3B87" w:rsidRPr="003F4702">
        <w:rPr>
          <w:rFonts w:cstheme="minorHAnsi"/>
          <w:b/>
          <w:bCs/>
          <w:sz w:val="22"/>
          <w:szCs w:val="22"/>
        </w:rPr>
        <w:t>września</w:t>
      </w:r>
      <w:r w:rsidRPr="003F4702">
        <w:rPr>
          <w:rFonts w:cstheme="minorHAnsi"/>
          <w:b/>
          <w:bCs/>
          <w:sz w:val="22"/>
          <w:szCs w:val="22"/>
        </w:rPr>
        <w:t xml:space="preserve"> 2026 r.</w:t>
      </w:r>
    </w:p>
    <w:p w14:paraId="1BD352CF" w14:textId="77777777" w:rsidR="00A450BA" w:rsidRPr="003F4702" w:rsidRDefault="00A450BA" w:rsidP="002518C9">
      <w:pPr>
        <w:spacing w:line="276" w:lineRule="auto"/>
        <w:rPr>
          <w:rFonts w:cstheme="minorHAnsi"/>
          <w:b/>
          <w:bCs/>
          <w:sz w:val="22"/>
          <w:szCs w:val="22"/>
        </w:rPr>
      </w:pPr>
      <w:r w:rsidRPr="003F4702">
        <w:rPr>
          <w:rFonts w:cstheme="minorHAnsi"/>
          <w:b/>
          <w:bCs/>
          <w:sz w:val="22"/>
          <w:szCs w:val="22"/>
        </w:rPr>
        <w:t>INFORMACJA PRASOWA</w:t>
      </w:r>
    </w:p>
    <w:p w14:paraId="151C800E" w14:textId="77777777" w:rsidR="00A450BA" w:rsidRPr="003F4702" w:rsidRDefault="00A450BA" w:rsidP="002518C9">
      <w:pPr>
        <w:spacing w:line="276" w:lineRule="auto"/>
        <w:rPr>
          <w:rFonts w:cstheme="minorHAnsi"/>
        </w:rPr>
      </w:pPr>
    </w:p>
    <w:p w14:paraId="4706CC13" w14:textId="3F8994B8" w:rsidR="00BD3B87" w:rsidRDefault="00BD3B87" w:rsidP="002518C9">
      <w:pPr>
        <w:spacing w:line="276" w:lineRule="auto"/>
        <w:rPr>
          <w:rFonts w:eastAsia="Calibri" w:cstheme="minorHAnsi"/>
          <w:b/>
          <w:bCs/>
          <w:color w:val="000000" w:themeColor="text1"/>
          <w:sz w:val="32"/>
          <w:szCs w:val="32"/>
        </w:rPr>
      </w:pPr>
      <w:r w:rsidRPr="003F4702">
        <w:rPr>
          <w:rFonts w:eastAsia="Calibri" w:cstheme="minorHAnsi"/>
          <w:b/>
          <w:bCs/>
          <w:color w:val="000000" w:themeColor="text1"/>
          <w:sz w:val="32"/>
          <w:szCs w:val="32"/>
        </w:rPr>
        <w:t>Ranking cen ładowania wchodzi na cyfrowy poziom: interaktywne</w:t>
      </w:r>
      <w:r w:rsidR="002518C9">
        <w:rPr>
          <w:rFonts w:eastAsia="Calibri" w:cstheme="minorHAnsi"/>
          <w:b/>
          <w:bCs/>
          <w:color w:val="000000" w:themeColor="text1"/>
          <w:sz w:val="32"/>
          <w:szCs w:val="32"/>
        </w:rPr>
        <w:t xml:space="preserve"> </w:t>
      </w:r>
      <w:r w:rsidRPr="003F4702">
        <w:rPr>
          <w:rFonts w:eastAsia="Calibri" w:cstheme="minorHAnsi"/>
          <w:b/>
          <w:bCs/>
          <w:color w:val="000000" w:themeColor="text1"/>
          <w:sz w:val="32"/>
          <w:szCs w:val="32"/>
        </w:rPr>
        <w:t xml:space="preserve">wykresy, dwa lata danych i osobny ranking Tesla </w:t>
      </w:r>
      <w:proofErr w:type="spellStart"/>
      <w:r w:rsidRPr="003F4702">
        <w:rPr>
          <w:rFonts w:eastAsia="Calibri" w:cstheme="minorHAnsi"/>
          <w:b/>
          <w:bCs/>
          <w:color w:val="000000" w:themeColor="text1"/>
          <w:sz w:val="32"/>
          <w:szCs w:val="32"/>
        </w:rPr>
        <w:t>Supercharger</w:t>
      </w:r>
      <w:proofErr w:type="spellEnd"/>
    </w:p>
    <w:p w14:paraId="05E08456" w14:textId="77777777" w:rsidR="002518C9" w:rsidRPr="003F4702" w:rsidRDefault="002518C9" w:rsidP="002518C9">
      <w:pPr>
        <w:spacing w:line="276" w:lineRule="auto"/>
        <w:rPr>
          <w:rFonts w:eastAsia="Calibri" w:cstheme="minorHAnsi"/>
          <w:b/>
          <w:bCs/>
          <w:color w:val="000000" w:themeColor="text1"/>
          <w:sz w:val="32"/>
          <w:szCs w:val="32"/>
        </w:rPr>
      </w:pPr>
    </w:p>
    <w:p w14:paraId="3DAB4EFE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Theme="minorHAnsi" w:hAnsiTheme="minorHAnsi" w:cstheme="minorHAnsi"/>
        </w:rPr>
      </w:pPr>
      <w:r w:rsidRPr="003F4702">
        <w:rPr>
          <w:rStyle w:val="Pogrubienie"/>
          <w:rFonts w:asciiTheme="minorHAnsi" w:hAnsiTheme="minorHAnsi" w:cstheme="minorHAnsi"/>
        </w:rPr>
        <w:t xml:space="preserve">Od września Ranking cen ładowania EV Klub Polska i elektromobilni.pl zyskał interaktywną odsłonę. Zamiast comiesięcznego zestawienia stawek, użytkownicy dostają narzędzie, które umożliwia analizę średnich cen ładowania AC, DC i HPC, śledzenie ich zmian przez blisko dwa lata i porównywanie poszczególnych operatorów. Nowością jest również osobny, interaktywny ranking sieci Tesla </w:t>
      </w:r>
      <w:proofErr w:type="spellStart"/>
      <w:r w:rsidRPr="003F4702">
        <w:rPr>
          <w:rStyle w:val="Pogrubienie"/>
          <w:rFonts w:asciiTheme="minorHAnsi" w:hAnsiTheme="minorHAnsi" w:cstheme="minorHAnsi"/>
        </w:rPr>
        <w:t>Supercharger</w:t>
      </w:r>
      <w:proofErr w:type="spellEnd"/>
      <w:r w:rsidRPr="003F4702">
        <w:rPr>
          <w:rStyle w:val="Pogrubienie"/>
          <w:rFonts w:asciiTheme="minorHAnsi" w:hAnsiTheme="minorHAnsi" w:cstheme="minorHAnsi"/>
        </w:rPr>
        <w:t>.</w:t>
      </w:r>
    </w:p>
    <w:p w14:paraId="17B06655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70024308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t>Do tej pory Ranking cen ładowania pokazywał przede wszystkim aktualne stawki największych operatorów infrastruktury ładowania w Polsce oraz najważniejsze promocje i zmiany cenników. Od września te dane dostępne są w formie cyfrowej na portalu elektromobilni.pl – w postaci, którą użytkownik może samodzielnie przeglądać, filtrować i porównywać.</w:t>
      </w:r>
    </w:p>
    <w:p w14:paraId="568D2F88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21D2852A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t>Nowa wersja pozwala sprawdzić nie tylko, ile kosztuje ładowanie u poszczególnych operatorów, ale też jak kształtuje się średnia cena na stacjach AC (obecnie 1,99 zł/kWh), na stacjach DC do 150 kW (2,55 zł/kWh) oraz na najmocniejszych stacjach HPC (2,70 zł/kWh) i jak te wartości zmieniały się w czasie.</w:t>
      </w:r>
    </w:p>
    <w:p w14:paraId="29127A8F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244B6E75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Theme="minorHAnsi" w:hAnsiTheme="minorHAnsi" w:cstheme="minorHAnsi"/>
        </w:rPr>
      </w:pPr>
      <w:r w:rsidRPr="003F4702">
        <w:rPr>
          <w:rStyle w:val="Uwydatnienie"/>
          <w:rFonts w:asciiTheme="minorHAnsi" w:hAnsiTheme="minorHAnsi" w:cstheme="minorHAnsi"/>
        </w:rPr>
        <w:t>„Do tej pory w rankingu pokazywaliśmy aktualne stawki i najważniejsze zmiany cennikowe, ale wraz z rozwojem projektu postanowiliśmy powiedzieć o rynku znacznie więcej. W nowej odsłonie naszego narzędzia możemy porównać stawki za ładowanie w niemal dwuletnim okresie. Dodaliśmy też możliwość zestawienia operatorów na jednym zbiorczym wykresie i sprawdzenia, jak okresowe działania operatorów wpływały na rynkowe trendy. Z punktu widzenia użytkownika oznacza to przede wszystkim większą transparentność i łatwiejsze podejmowanie decyzji o tym, gdzie i za ile ładować samochód elektryczny”</w:t>
      </w:r>
      <w:r w:rsidRPr="003F4702">
        <w:rPr>
          <w:rFonts w:asciiTheme="minorHAnsi" w:hAnsiTheme="minorHAnsi" w:cstheme="minorHAnsi"/>
        </w:rPr>
        <w:t xml:space="preserve"> – wskazuje </w:t>
      </w:r>
      <w:r w:rsidRPr="003F4702">
        <w:rPr>
          <w:rStyle w:val="Pogrubienie"/>
          <w:rFonts w:asciiTheme="minorHAnsi" w:hAnsiTheme="minorHAnsi" w:cstheme="minorHAnsi"/>
        </w:rPr>
        <w:t>Łukasz Lewandowski, prezes EV Klub Polska.</w:t>
      </w:r>
    </w:p>
    <w:p w14:paraId="334DF22F" w14:textId="77777777" w:rsidR="00F326A0" w:rsidRDefault="00F326A0" w:rsidP="002518C9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Theme="minorHAnsi" w:hAnsiTheme="minorHAnsi" w:cstheme="minorHAnsi"/>
        </w:rPr>
      </w:pPr>
    </w:p>
    <w:p w14:paraId="45F3C621" w14:textId="583CC154" w:rsidR="00F326A0" w:rsidRPr="003F4702" w:rsidRDefault="00F326A0" w:rsidP="00F326A0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14:ligatures w14:val="standardContextual"/>
        </w:rPr>
        <w:lastRenderedPageBreak/>
        <w:drawing>
          <wp:inline distT="0" distB="0" distL="0" distR="0" wp14:anchorId="2DD19F30" wp14:editId="48142A4D">
            <wp:extent cx="4432300" cy="5321300"/>
            <wp:effectExtent l="0" t="0" r="0" b="0"/>
            <wp:docPr id="135980337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803379" name="Obraz 13598033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EB55F" w14:textId="77777777" w:rsidR="002518C9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Theme="minorHAnsi" w:hAnsiTheme="minorHAnsi" w:cstheme="minorHAnsi"/>
        </w:rPr>
      </w:pPr>
    </w:p>
    <w:p w14:paraId="7CD93BF1" w14:textId="44F475F9" w:rsidR="003F4702" w:rsidRP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Style w:val="Pogrubienie"/>
          <w:rFonts w:asciiTheme="minorHAnsi" w:hAnsiTheme="minorHAnsi" w:cstheme="minorHAnsi"/>
        </w:rPr>
        <w:t>Dane z blisko dwóch lat</w:t>
      </w:r>
    </w:p>
    <w:p w14:paraId="34DD8AA8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t>Jedną z najważniejszych funkcji cyfrowej wersji Rankingu jest możliwość prześledzenia zmian stawek u uwzględnianych operatorów na przestrzeni niemal dwóch lat. Użytkownik może wybrać jednego operatora albo nałożyć kilku na jeden wykres. Pozwala to sprawdzić, kiedy zmieniały się ceny, jak często pojawiały się promocje i jaki jest długoterminowy trend.</w:t>
      </w:r>
    </w:p>
    <w:p w14:paraId="5F3CB24F" w14:textId="77777777" w:rsidR="00F326A0" w:rsidRDefault="00F326A0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013432D8" w14:textId="77288E43" w:rsidR="00F326A0" w:rsidRDefault="00F326A0" w:rsidP="00F326A0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14:ligatures w14:val="standardContextual"/>
        </w:rPr>
        <w:lastRenderedPageBreak/>
        <w:drawing>
          <wp:inline distT="0" distB="0" distL="0" distR="0" wp14:anchorId="69E6A795" wp14:editId="3D01FA9B">
            <wp:extent cx="4495800" cy="3403600"/>
            <wp:effectExtent l="0" t="0" r="0" b="0"/>
            <wp:docPr id="186017282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172821" name="Obraz 18601728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439D9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321D1D7B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t>Ranking przestaje więc odpowiadać wyłącznie na pytanie „gdzie najtaniej naładuję samochód?”. Pozwala także ocenić, którzy operatorzy utrzymują konkurencyjne ceny w dłuższej perspektywie – a to widać dopiero na danych historycznych. Dobrze pokazuje to sama rozpiętość stawek: za to samo szybkie ładowanie HPC kierowca płaci dziś od 1,80 do niemal 3,60 zł/kWh, więc dostęp do pełnej historii cen realnie przekłada się na oszczędności.</w:t>
      </w:r>
    </w:p>
    <w:p w14:paraId="207774DE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2200D858" w14:textId="77777777" w:rsidR="003F4702" w:rsidRP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Style w:val="Pogrubienie"/>
          <w:rFonts w:asciiTheme="minorHAnsi" w:hAnsiTheme="minorHAnsi" w:cstheme="minorHAnsi"/>
        </w:rPr>
        <w:t xml:space="preserve">Tesla </w:t>
      </w:r>
      <w:proofErr w:type="spellStart"/>
      <w:r w:rsidRPr="003F4702">
        <w:rPr>
          <w:rStyle w:val="Pogrubienie"/>
          <w:rFonts w:asciiTheme="minorHAnsi" w:hAnsiTheme="minorHAnsi" w:cstheme="minorHAnsi"/>
        </w:rPr>
        <w:t>Supercharger</w:t>
      </w:r>
      <w:proofErr w:type="spellEnd"/>
      <w:r w:rsidRPr="003F4702">
        <w:rPr>
          <w:rStyle w:val="Pogrubienie"/>
          <w:rFonts w:asciiTheme="minorHAnsi" w:hAnsiTheme="minorHAnsi" w:cstheme="minorHAnsi"/>
        </w:rPr>
        <w:t xml:space="preserve"> z własnym rankingiem</w:t>
      </w:r>
    </w:p>
    <w:p w14:paraId="0C057740" w14:textId="29D9258F" w:rsidR="00F326A0" w:rsidRDefault="003F4702" w:rsidP="00F326A0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t xml:space="preserve">Kolejną nowością jest osobny, interaktywny ranking poświęcony sieci Tesla </w:t>
      </w:r>
      <w:proofErr w:type="spellStart"/>
      <w:r w:rsidRPr="003F4702">
        <w:rPr>
          <w:rFonts w:asciiTheme="minorHAnsi" w:hAnsiTheme="minorHAnsi" w:cstheme="minorHAnsi"/>
        </w:rPr>
        <w:t>Supercharger</w:t>
      </w:r>
      <w:proofErr w:type="spellEnd"/>
      <w:r w:rsidRPr="003F4702">
        <w:rPr>
          <w:rFonts w:asciiTheme="minorHAnsi" w:hAnsiTheme="minorHAnsi" w:cstheme="minorHAnsi"/>
        </w:rPr>
        <w:t xml:space="preserve">. W jednym miejscu można sprawdzić, jak zmieniały się ceny w poszczególnych lokalizacjach </w:t>
      </w:r>
      <w:proofErr w:type="spellStart"/>
      <w:r w:rsidRPr="003F4702">
        <w:rPr>
          <w:rFonts w:asciiTheme="minorHAnsi" w:hAnsiTheme="minorHAnsi" w:cstheme="minorHAnsi"/>
        </w:rPr>
        <w:t>Superchargerów</w:t>
      </w:r>
      <w:proofErr w:type="spellEnd"/>
      <w:r w:rsidRPr="003F4702">
        <w:rPr>
          <w:rFonts w:asciiTheme="minorHAnsi" w:hAnsiTheme="minorHAnsi" w:cstheme="minorHAnsi"/>
        </w:rPr>
        <w:t xml:space="preserve"> w Polsce i porównywać lokalizacje między sobą. Obecnie stawki w zestawieniu mieszczą się w przedziale od </w:t>
      </w:r>
      <w:r w:rsidR="00EB27C5">
        <w:rPr>
          <w:rStyle w:val="Pogrubienie"/>
          <w:rFonts w:asciiTheme="minorHAnsi" w:hAnsiTheme="minorHAnsi" w:cstheme="minorHAnsi"/>
        </w:rPr>
        <w:t>0,9</w:t>
      </w:r>
      <w:r w:rsidRPr="003F4702">
        <w:rPr>
          <w:rStyle w:val="Pogrubienie"/>
          <w:rFonts w:asciiTheme="minorHAnsi" w:hAnsiTheme="minorHAnsi" w:cstheme="minorHAnsi"/>
        </w:rPr>
        <w:t xml:space="preserve"> do 3,10 zł/kWh</w:t>
      </w:r>
      <w:r w:rsidRPr="003F4702">
        <w:rPr>
          <w:rFonts w:asciiTheme="minorHAnsi" w:hAnsiTheme="minorHAnsi" w:cstheme="minorHAnsi"/>
        </w:rPr>
        <w:t xml:space="preserve"> – w zależności m.in. od lokalizacji, pory dnia i rodzaju użytkownika (kierowca Tesli </w:t>
      </w:r>
      <w:r w:rsidR="002518C9">
        <w:rPr>
          <w:rFonts w:asciiTheme="minorHAnsi" w:hAnsiTheme="minorHAnsi" w:cstheme="minorHAnsi"/>
        </w:rPr>
        <w:t>(</w:t>
      </w:r>
      <w:r w:rsidRPr="003F4702">
        <w:rPr>
          <w:rFonts w:asciiTheme="minorHAnsi" w:hAnsiTheme="minorHAnsi" w:cstheme="minorHAnsi"/>
        </w:rPr>
        <w:t xml:space="preserve">Tesla </w:t>
      </w:r>
      <w:proofErr w:type="spellStart"/>
      <w:proofErr w:type="gramStart"/>
      <w:r w:rsidRPr="003F4702">
        <w:rPr>
          <w:rFonts w:asciiTheme="minorHAnsi" w:hAnsiTheme="minorHAnsi" w:cstheme="minorHAnsi"/>
        </w:rPr>
        <w:t>owner</w:t>
      </w:r>
      <w:proofErr w:type="spellEnd"/>
      <w:r w:rsidR="002518C9">
        <w:rPr>
          <w:rFonts w:asciiTheme="minorHAnsi" w:hAnsiTheme="minorHAnsi" w:cstheme="minorHAnsi"/>
        </w:rPr>
        <w:t>)</w:t>
      </w:r>
      <w:r w:rsidRPr="003F4702">
        <w:rPr>
          <w:rFonts w:asciiTheme="minorHAnsi" w:hAnsiTheme="minorHAnsi" w:cstheme="minorHAnsi"/>
        </w:rPr>
        <w:t>/</w:t>
      </w:r>
      <w:proofErr w:type="gramEnd"/>
      <w:r w:rsidRPr="003F4702">
        <w:rPr>
          <w:rFonts w:asciiTheme="minorHAnsi" w:hAnsiTheme="minorHAnsi" w:cstheme="minorHAnsi"/>
        </w:rPr>
        <w:t xml:space="preserve">właściciel pojazdu elektrycznego innej marki </w:t>
      </w:r>
      <w:r w:rsidR="002518C9">
        <w:rPr>
          <w:rFonts w:asciiTheme="minorHAnsi" w:hAnsiTheme="minorHAnsi" w:cstheme="minorHAnsi"/>
        </w:rPr>
        <w:t>(</w:t>
      </w:r>
      <w:r w:rsidRPr="003F4702">
        <w:rPr>
          <w:rFonts w:asciiTheme="minorHAnsi" w:hAnsiTheme="minorHAnsi" w:cstheme="minorHAnsi"/>
        </w:rPr>
        <w:t xml:space="preserve">non-Tesla </w:t>
      </w:r>
      <w:proofErr w:type="spellStart"/>
      <w:r w:rsidRPr="003F4702">
        <w:rPr>
          <w:rFonts w:asciiTheme="minorHAnsi" w:hAnsiTheme="minorHAnsi" w:cstheme="minorHAnsi"/>
        </w:rPr>
        <w:t>owner</w:t>
      </w:r>
      <w:proofErr w:type="spellEnd"/>
      <w:r w:rsidR="002518C9">
        <w:rPr>
          <w:rFonts w:asciiTheme="minorHAnsi" w:hAnsiTheme="minorHAnsi" w:cstheme="minorHAnsi"/>
        </w:rPr>
        <w:t>)</w:t>
      </w:r>
      <w:r w:rsidRPr="003F4702">
        <w:rPr>
          <w:rFonts w:asciiTheme="minorHAnsi" w:hAnsiTheme="minorHAnsi" w:cstheme="minorHAnsi"/>
        </w:rPr>
        <w:t>).</w:t>
      </w:r>
    </w:p>
    <w:p w14:paraId="0CF95023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472AA123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t>Ranking pozwala filtrować dane według stawek szczytowych (</w:t>
      </w:r>
      <w:proofErr w:type="spellStart"/>
      <w:r w:rsidRPr="003F4702">
        <w:rPr>
          <w:rFonts w:asciiTheme="minorHAnsi" w:hAnsiTheme="minorHAnsi" w:cstheme="minorHAnsi"/>
        </w:rPr>
        <w:t>peak</w:t>
      </w:r>
      <w:proofErr w:type="spellEnd"/>
      <w:r w:rsidRPr="003F4702">
        <w:rPr>
          <w:rFonts w:asciiTheme="minorHAnsi" w:hAnsiTheme="minorHAnsi" w:cstheme="minorHAnsi"/>
        </w:rPr>
        <w:t>) i pozaszczytowych (off-</w:t>
      </w:r>
      <w:proofErr w:type="spellStart"/>
      <w:r w:rsidRPr="003F4702">
        <w:rPr>
          <w:rFonts w:asciiTheme="minorHAnsi" w:hAnsiTheme="minorHAnsi" w:cstheme="minorHAnsi"/>
        </w:rPr>
        <w:t>peak</w:t>
      </w:r>
      <w:proofErr w:type="spellEnd"/>
      <w:r w:rsidRPr="003F4702">
        <w:rPr>
          <w:rFonts w:asciiTheme="minorHAnsi" w:hAnsiTheme="minorHAnsi" w:cstheme="minorHAnsi"/>
        </w:rPr>
        <w:t xml:space="preserve">), rodzaju użytkownika oraz mocy stacji. Osobno można analizować ceny dla użytkowników Tesli i posiadaczy abonamentu oraz dla kierowców innych samochodów elektrycznych korzystających z sieci bez abonamentu. Możliwe jest też rozróżnienie </w:t>
      </w:r>
      <w:proofErr w:type="spellStart"/>
      <w:r w:rsidRPr="003F4702">
        <w:rPr>
          <w:rFonts w:asciiTheme="minorHAnsi" w:hAnsiTheme="minorHAnsi" w:cstheme="minorHAnsi"/>
        </w:rPr>
        <w:t>Superchargerów</w:t>
      </w:r>
      <w:proofErr w:type="spellEnd"/>
      <w:r w:rsidRPr="003F4702">
        <w:rPr>
          <w:rFonts w:asciiTheme="minorHAnsi" w:hAnsiTheme="minorHAnsi" w:cstheme="minorHAnsi"/>
        </w:rPr>
        <w:t xml:space="preserve"> typu V2 do 150 kW oraz V3/V4 do 250 </w:t>
      </w:r>
      <w:proofErr w:type="spellStart"/>
      <w:r w:rsidRPr="003F4702">
        <w:rPr>
          <w:rFonts w:asciiTheme="minorHAnsi" w:hAnsiTheme="minorHAnsi" w:cstheme="minorHAnsi"/>
        </w:rPr>
        <w:t>kW.</w:t>
      </w:r>
      <w:proofErr w:type="spellEnd"/>
    </w:p>
    <w:p w14:paraId="63A711A4" w14:textId="77777777" w:rsidR="00F326A0" w:rsidRDefault="00F326A0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0D4041DA" w14:textId="55D8E9F0" w:rsidR="002518C9" w:rsidRPr="003F4702" w:rsidRDefault="00F326A0" w:rsidP="00F326A0">
      <w:pPr>
        <w:pStyle w:val="Normalny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14:ligatures w14:val="standardContextual"/>
        </w:rPr>
        <w:lastRenderedPageBreak/>
        <w:drawing>
          <wp:inline distT="0" distB="0" distL="0" distR="0" wp14:anchorId="7D937DF7" wp14:editId="1E546E82">
            <wp:extent cx="4660900" cy="4013200"/>
            <wp:effectExtent l="0" t="0" r="0" b="0"/>
            <wp:docPr id="16082676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26762" name="Obraz 1608267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2373A" w14:textId="77777777" w:rsidR="00F326A0" w:rsidRDefault="00F326A0" w:rsidP="002518C9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Theme="minorHAnsi" w:hAnsiTheme="minorHAnsi" w:cstheme="minorHAnsi"/>
          <w:b w:val="0"/>
          <w:bCs w:val="0"/>
        </w:rPr>
      </w:pPr>
    </w:p>
    <w:p w14:paraId="497485AB" w14:textId="28203BC8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3F4702">
        <w:rPr>
          <w:rStyle w:val="Pogrubienie"/>
          <w:rFonts w:asciiTheme="minorHAnsi" w:hAnsiTheme="minorHAnsi" w:cstheme="minorHAnsi"/>
          <w:b w:val="0"/>
          <w:bCs w:val="0"/>
        </w:rPr>
        <w:t xml:space="preserve">We wrześniu Tesla wprowadziła znaczące zmiany stawek w wielu polskich lokalizacjach </w:t>
      </w:r>
      <w:proofErr w:type="spellStart"/>
      <w:r w:rsidRPr="003F4702">
        <w:rPr>
          <w:rStyle w:val="Pogrubienie"/>
          <w:rFonts w:asciiTheme="minorHAnsi" w:hAnsiTheme="minorHAnsi" w:cstheme="minorHAnsi"/>
          <w:b w:val="0"/>
          <w:bCs w:val="0"/>
        </w:rPr>
        <w:t>Superchargerów</w:t>
      </w:r>
      <w:proofErr w:type="spellEnd"/>
      <w:r w:rsidRPr="003F4702">
        <w:rPr>
          <w:rStyle w:val="Pogrubienie"/>
          <w:rFonts w:asciiTheme="minorHAnsi" w:hAnsiTheme="minorHAnsi" w:cstheme="minorHAnsi"/>
          <w:b w:val="0"/>
          <w:bCs w:val="0"/>
        </w:rPr>
        <w:t xml:space="preserve">. Najbardziej widoczne są one w cenach obowiązujących w godzinach szczytu. Spośród 19 lokalizacji, w 14 stawka szczytowa wzrosła, w trzech spadła, a w dwóch pozostała bez zmian. Największe podwyżki odnotowano w Gdańsku i na stacji </w:t>
      </w:r>
      <w:proofErr w:type="spellStart"/>
      <w:r w:rsidR="00EB27C5">
        <w:rPr>
          <w:rStyle w:val="Pogrubienie"/>
          <w:rFonts w:asciiTheme="minorHAnsi" w:hAnsiTheme="minorHAnsi" w:cstheme="minorHAnsi"/>
          <w:b w:val="0"/>
          <w:bCs w:val="0"/>
        </w:rPr>
        <w:t>Supercharger</w:t>
      </w:r>
      <w:proofErr w:type="spellEnd"/>
      <w:r w:rsidR="00EB27C5">
        <w:rPr>
          <w:rStyle w:val="Pogrubienie"/>
          <w:rFonts w:asciiTheme="minorHAnsi" w:hAnsiTheme="minorHAnsi" w:cstheme="minorHAnsi"/>
          <w:b w:val="0"/>
          <w:bCs w:val="0"/>
        </w:rPr>
        <w:t xml:space="preserve"> w Poznaniu przy autostradzie </w:t>
      </w:r>
      <w:r w:rsidRPr="003F4702">
        <w:rPr>
          <w:rStyle w:val="Pogrubienie"/>
          <w:rFonts w:asciiTheme="minorHAnsi" w:hAnsiTheme="minorHAnsi" w:cstheme="minorHAnsi"/>
          <w:b w:val="0"/>
          <w:bCs w:val="0"/>
        </w:rPr>
        <w:t xml:space="preserve">A4 – w obu przypadkach o 0,60 zł/kWh, z 2,30 do 2,90 zł/kWh. O 0,50 zł/kWh wzrosły stawki we Wrocławiu, z 2,40 do 2,90 zł/kWh oraz przy Lotnisku Chopina w Warszawie, z 2,60 do 3,10 zł/kWh. Jednocześnie w części lokalizacji ceny spadły – w Jasionce z 2,40 do 2,00 zł/kWh, a w Lublinie z 2,40 do 2,20 zł/kWh. Zmiany stawek pozaszczytowych były na ogół łagodniejsze, co dodatkowo pokazuje, jak dynamiczny i zależny od lokalizacji oraz pory dnia jest model cenowy sieci Tesla </w:t>
      </w:r>
      <w:proofErr w:type="spellStart"/>
      <w:r w:rsidRPr="003F4702">
        <w:rPr>
          <w:rStyle w:val="Pogrubienie"/>
          <w:rFonts w:asciiTheme="minorHAnsi" w:hAnsiTheme="minorHAnsi" w:cstheme="minorHAnsi"/>
          <w:b w:val="0"/>
          <w:bCs w:val="0"/>
        </w:rPr>
        <w:t>Supercharger</w:t>
      </w:r>
      <w:proofErr w:type="spellEnd"/>
      <w:r w:rsidRPr="003F4702">
        <w:rPr>
          <w:rStyle w:val="Pogrubienie"/>
          <w:rFonts w:asciiTheme="minorHAnsi" w:hAnsiTheme="minorHAnsi" w:cstheme="minorHAnsi"/>
          <w:b w:val="0"/>
          <w:bCs w:val="0"/>
        </w:rPr>
        <w:t>.</w:t>
      </w:r>
    </w:p>
    <w:p w14:paraId="7AAF4DEB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1638D5AE" w14:textId="77777777" w:rsidR="003F4702" w:rsidRP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Style w:val="Uwydatnienie"/>
          <w:rFonts w:asciiTheme="minorHAnsi" w:hAnsiTheme="minorHAnsi" w:cstheme="minorHAnsi"/>
        </w:rPr>
        <w:t xml:space="preserve">„Polityka cenowa na </w:t>
      </w:r>
      <w:proofErr w:type="spellStart"/>
      <w:r w:rsidRPr="003F4702">
        <w:rPr>
          <w:rStyle w:val="Uwydatnienie"/>
          <w:rFonts w:asciiTheme="minorHAnsi" w:hAnsiTheme="minorHAnsi" w:cstheme="minorHAnsi"/>
        </w:rPr>
        <w:t>Superchargerach</w:t>
      </w:r>
      <w:proofErr w:type="spellEnd"/>
      <w:r w:rsidRPr="003F4702">
        <w:rPr>
          <w:rStyle w:val="Uwydatnienie"/>
          <w:rFonts w:asciiTheme="minorHAnsi" w:hAnsiTheme="minorHAnsi" w:cstheme="minorHAnsi"/>
        </w:rPr>
        <w:t xml:space="preserve"> Tesli jest dużo bardziej dynamiczna niż klasyczny cennik oparty na rodzaju stacji. Cena może zależeć od lokalizacji, pory dnia czy wykupionego abonamentu. Dlatego stworzyliśmy dla sieci Tesla </w:t>
      </w:r>
      <w:proofErr w:type="spellStart"/>
      <w:r w:rsidRPr="003F4702">
        <w:rPr>
          <w:rStyle w:val="Uwydatnienie"/>
          <w:rFonts w:asciiTheme="minorHAnsi" w:hAnsiTheme="minorHAnsi" w:cstheme="minorHAnsi"/>
        </w:rPr>
        <w:t>Supercharger</w:t>
      </w:r>
      <w:proofErr w:type="spellEnd"/>
      <w:r w:rsidRPr="003F4702">
        <w:rPr>
          <w:rStyle w:val="Uwydatnienie"/>
          <w:rFonts w:asciiTheme="minorHAnsi" w:hAnsiTheme="minorHAnsi" w:cstheme="minorHAnsi"/>
        </w:rPr>
        <w:t xml:space="preserve"> osobny ranking. Teraz można wejść w konkretną lokalizację i zobaczyć, jak zmieniały się tam ceny </w:t>
      </w:r>
      <w:proofErr w:type="spellStart"/>
      <w:r w:rsidRPr="003F4702">
        <w:rPr>
          <w:rStyle w:val="Uwydatnienie"/>
          <w:rFonts w:asciiTheme="minorHAnsi" w:hAnsiTheme="minorHAnsi" w:cstheme="minorHAnsi"/>
        </w:rPr>
        <w:t>peak</w:t>
      </w:r>
      <w:proofErr w:type="spellEnd"/>
      <w:r w:rsidRPr="003F4702">
        <w:rPr>
          <w:rStyle w:val="Uwydatnienie"/>
          <w:rFonts w:asciiTheme="minorHAnsi" w:hAnsiTheme="minorHAnsi" w:cstheme="minorHAnsi"/>
        </w:rPr>
        <w:t xml:space="preserve"> i off-</w:t>
      </w:r>
      <w:proofErr w:type="spellStart"/>
      <w:r w:rsidRPr="003F4702">
        <w:rPr>
          <w:rStyle w:val="Uwydatnienie"/>
          <w:rFonts w:asciiTheme="minorHAnsi" w:hAnsiTheme="minorHAnsi" w:cstheme="minorHAnsi"/>
        </w:rPr>
        <w:t>peak</w:t>
      </w:r>
      <w:proofErr w:type="spellEnd"/>
      <w:r w:rsidRPr="003F4702">
        <w:rPr>
          <w:rStyle w:val="Uwydatnienie"/>
          <w:rFonts w:asciiTheme="minorHAnsi" w:hAnsiTheme="minorHAnsi" w:cstheme="minorHAnsi"/>
        </w:rPr>
        <w:t xml:space="preserve">, porównać je z innymi stacjami oraz sprawdzić różnice pomiędzy użytkownikami Tesli i innych samochodów elektrycznych. Zamiast pojedynczej stawki otrzymujemy więc pełny obraz tego, jak działa cennik Tesla </w:t>
      </w:r>
      <w:proofErr w:type="spellStart"/>
      <w:r w:rsidRPr="003F4702">
        <w:rPr>
          <w:rStyle w:val="Uwydatnienie"/>
          <w:rFonts w:asciiTheme="minorHAnsi" w:hAnsiTheme="minorHAnsi" w:cstheme="minorHAnsi"/>
        </w:rPr>
        <w:t>Supercharger</w:t>
      </w:r>
      <w:proofErr w:type="spellEnd"/>
      <w:r w:rsidRPr="003F4702">
        <w:rPr>
          <w:rStyle w:val="Uwydatnienie"/>
          <w:rFonts w:asciiTheme="minorHAnsi" w:hAnsiTheme="minorHAnsi" w:cstheme="minorHAnsi"/>
        </w:rPr>
        <w:t xml:space="preserve"> w Polsce”</w:t>
      </w:r>
      <w:r w:rsidRPr="003F4702">
        <w:rPr>
          <w:rFonts w:asciiTheme="minorHAnsi" w:hAnsiTheme="minorHAnsi" w:cstheme="minorHAnsi"/>
        </w:rPr>
        <w:t xml:space="preserve"> – mówi </w:t>
      </w:r>
      <w:r w:rsidRPr="003F4702">
        <w:rPr>
          <w:rStyle w:val="Pogrubienie"/>
          <w:rFonts w:asciiTheme="minorHAnsi" w:hAnsiTheme="minorHAnsi" w:cstheme="minorHAnsi"/>
        </w:rPr>
        <w:t>Maciej Gis</w:t>
      </w:r>
      <w:r w:rsidRPr="002518C9">
        <w:rPr>
          <w:rStyle w:val="Pogrubienie"/>
          <w:rFonts w:asciiTheme="minorHAnsi" w:hAnsiTheme="minorHAnsi" w:cstheme="minorHAnsi"/>
          <w:b w:val="0"/>
          <w:bCs w:val="0"/>
        </w:rPr>
        <w:t>, dyrektor komunikacji i PR PSNM oraz redaktor naczelny elektromobilni.pl.</w:t>
      </w:r>
    </w:p>
    <w:p w14:paraId="1D6A1E8C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lastRenderedPageBreak/>
        <w:t>Dodatkowo oba rankingi mają generator PDF – każdy zainteresowany może pobrać zestawienie w formacie jednej przejrzystej strony A4.</w:t>
      </w:r>
    </w:p>
    <w:p w14:paraId="24FB76E1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0B22AC64" w14:textId="77777777" w:rsidR="003F4702" w:rsidRP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Style w:val="Pogrubienie"/>
          <w:rFonts w:asciiTheme="minorHAnsi" w:hAnsiTheme="minorHAnsi" w:cstheme="minorHAnsi"/>
        </w:rPr>
        <w:t>Ranking zostaje, danych będzie więcej</w:t>
      </w:r>
    </w:p>
    <w:p w14:paraId="4C3C2F66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t>Tradycyjna, comiesięczna publikacja Rankingu cen ładowania pozostaje bez zmian. Nadal będzie zawierać aktualne zestawienie stawek, grafikę, najważniejsze promocje oraz analizę zmian na rynku. Cyfrowa wersja rozszerza ją jednak o dane historyczne i możliwość samodzielnego porównywania kwot za kilowatogodzinę. W efekcie Ranking cen ładowania zmienia się z comiesięcznego zestawienia w narzędzie pozwalające obserwować trendy cenowe i politykę poszczególnych operatorów w czasie.</w:t>
      </w:r>
    </w:p>
    <w:p w14:paraId="1B8C302F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3BF3494D" w14:textId="77777777" w:rsidR="003F4702" w:rsidRP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Style w:val="Pogrubienie"/>
          <w:rFonts w:asciiTheme="minorHAnsi" w:hAnsiTheme="minorHAnsi" w:cstheme="minorHAnsi"/>
        </w:rPr>
        <w:t>Wrzesień to kolejne zmiany w cennikach</w:t>
      </w:r>
    </w:p>
    <w:p w14:paraId="7F4FE25D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t xml:space="preserve">Należy również podkreślić, że nowa odsłona rankingu debiutuje w momencie, gdy część operatorów ponownie modyfikuje stawki po okresie wakacyjnym – a więc wtedy, gdy narzędzie do śledzenia tych zmian przydaje się najbardziej. W segmencie AC zmiany nastąpiły m.in. w ORLEN </w:t>
      </w:r>
      <w:proofErr w:type="spellStart"/>
      <w:r w:rsidRPr="003F4702">
        <w:rPr>
          <w:rFonts w:asciiTheme="minorHAnsi" w:hAnsiTheme="minorHAnsi" w:cstheme="minorHAnsi"/>
        </w:rPr>
        <w:t>Charge</w:t>
      </w:r>
      <w:proofErr w:type="spellEnd"/>
      <w:r w:rsidRPr="003F4702">
        <w:rPr>
          <w:rFonts w:asciiTheme="minorHAnsi" w:hAnsiTheme="minorHAnsi" w:cstheme="minorHAnsi"/>
        </w:rPr>
        <w:t xml:space="preserve"> (standardowa stawka wzrosła z 1,59 do 1,95 zł/kWh) oraz </w:t>
      </w:r>
      <w:proofErr w:type="spellStart"/>
      <w:r w:rsidRPr="003F4702">
        <w:rPr>
          <w:rFonts w:asciiTheme="minorHAnsi" w:hAnsiTheme="minorHAnsi" w:cstheme="minorHAnsi"/>
        </w:rPr>
        <w:t>Enefit</w:t>
      </w:r>
      <w:proofErr w:type="spellEnd"/>
      <w:r w:rsidRPr="003F4702">
        <w:rPr>
          <w:rFonts w:asciiTheme="minorHAnsi" w:hAnsiTheme="minorHAnsi" w:cstheme="minorHAnsi"/>
        </w:rPr>
        <w:t xml:space="preserve"> (z 1,78 do 1,99 zł/kWh).</w:t>
      </w:r>
    </w:p>
    <w:p w14:paraId="5402FADB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36AC105B" w14:textId="77777777" w:rsid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Fonts w:asciiTheme="minorHAnsi" w:hAnsiTheme="minorHAnsi" w:cstheme="minorHAnsi"/>
        </w:rPr>
        <w:t xml:space="preserve">Koniec wakacyjnych promocji dotyczy również szybkiego ładowania DC. </w:t>
      </w:r>
      <w:proofErr w:type="spellStart"/>
      <w:r w:rsidRPr="003F4702">
        <w:rPr>
          <w:rFonts w:asciiTheme="minorHAnsi" w:hAnsiTheme="minorHAnsi" w:cstheme="minorHAnsi"/>
        </w:rPr>
        <w:t>Enefit</w:t>
      </w:r>
      <w:proofErr w:type="spellEnd"/>
      <w:r w:rsidRPr="003F4702">
        <w:rPr>
          <w:rFonts w:asciiTheme="minorHAnsi" w:hAnsiTheme="minorHAnsi" w:cstheme="minorHAnsi"/>
        </w:rPr>
        <w:t xml:space="preserve"> podniósł standardową stawkę dla ładowania DC poniżej 150 kW z 2,16 do 2,39 zł/kWh (w wybranych lokalizacjach obowiązywała wcześniej cena 2,02 zł/kWh). Znaczącą zmianę wprowadził też ORLEN </w:t>
      </w:r>
      <w:proofErr w:type="spellStart"/>
      <w:r w:rsidRPr="003F4702">
        <w:rPr>
          <w:rFonts w:asciiTheme="minorHAnsi" w:hAnsiTheme="minorHAnsi" w:cstheme="minorHAnsi"/>
        </w:rPr>
        <w:t>Charge</w:t>
      </w:r>
      <w:proofErr w:type="spellEnd"/>
      <w:r w:rsidRPr="003F4702">
        <w:rPr>
          <w:rFonts w:asciiTheme="minorHAnsi" w:hAnsiTheme="minorHAnsi" w:cstheme="minorHAnsi"/>
        </w:rPr>
        <w:t xml:space="preserve"> – wracając do standardowego cennika, stawka DC wzrosła z 2,19 do 2,69 zł/kWh; tyle samo obowiązuje obecnie dla ładowania HPC. Na tle kończących się promocji wyróżnia się Budimex </w:t>
      </w:r>
      <w:proofErr w:type="spellStart"/>
      <w:r w:rsidRPr="003F4702">
        <w:rPr>
          <w:rFonts w:asciiTheme="minorHAnsi" w:hAnsiTheme="minorHAnsi" w:cstheme="minorHAnsi"/>
        </w:rPr>
        <w:t>mobility</w:t>
      </w:r>
      <w:proofErr w:type="spellEnd"/>
      <w:r w:rsidRPr="003F4702">
        <w:rPr>
          <w:rFonts w:asciiTheme="minorHAnsi" w:hAnsiTheme="minorHAnsi" w:cstheme="minorHAnsi"/>
        </w:rPr>
        <w:t>, który przedłużył preferencyjne stawki do 30 września – w przypadku ładowania DC i HPC standardowa cena wynosi tam obecnie 1,80 zł/kWh.</w:t>
      </w:r>
    </w:p>
    <w:p w14:paraId="6F87D489" w14:textId="77777777" w:rsidR="002518C9" w:rsidRPr="003F4702" w:rsidRDefault="002518C9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01FC5598" w14:textId="77777777" w:rsidR="003F4702" w:rsidRPr="003F4702" w:rsidRDefault="003F4702" w:rsidP="002518C9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3F4702">
        <w:rPr>
          <w:rStyle w:val="Uwydatnienie"/>
          <w:rFonts w:asciiTheme="minorHAnsi" w:hAnsiTheme="minorHAnsi" w:cstheme="minorHAnsi"/>
        </w:rPr>
        <w:t xml:space="preserve">„Wakacje były okresem bardzo dużej aktywności promocyjnej operatorów. ORLEN </w:t>
      </w:r>
      <w:proofErr w:type="spellStart"/>
      <w:r w:rsidRPr="003F4702">
        <w:rPr>
          <w:rStyle w:val="Uwydatnienie"/>
          <w:rFonts w:asciiTheme="minorHAnsi" w:hAnsiTheme="minorHAnsi" w:cstheme="minorHAnsi"/>
        </w:rPr>
        <w:t>Charge</w:t>
      </w:r>
      <w:proofErr w:type="spellEnd"/>
      <w:r w:rsidRPr="003F4702">
        <w:rPr>
          <w:rStyle w:val="Uwydatnienie"/>
          <w:rFonts w:asciiTheme="minorHAnsi" w:hAnsiTheme="minorHAnsi" w:cstheme="minorHAnsi"/>
        </w:rPr>
        <w:t xml:space="preserve">, Budimex </w:t>
      </w:r>
      <w:proofErr w:type="spellStart"/>
      <w:r w:rsidRPr="003F4702">
        <w:rPr>
          <w:rStyle w:val="Uwydatnienie"/>
          <w:rFonts w:asciiTheme="minorHAnsi" w:hAnsiTheme="minorHAnsi" w:cstheme="minorHAnsi"/>
        </w:rPr>
        <w:t>mobility</w:t>
      </w:r>
      <w:proofErr w:type="spellEnd"/>
      <w:r w:rsidRPr="003F4702">
        <w:rPr>
          <w:rStyle w:val="Uwydatnienie"/>
          <w:rFonts w:asciiTheme="minorHAnsi" w:hAnsiTheme="minorHAnsi" w:cstheme="minorHAnsi"/>
        </w:rPr>
        <w:t xml:space="preserve">, </w:t>
      </w:r>
      <w:proofErr w:type="spellStart"/>
      <w:r w:rsidRPr="003F4702">
        <w:rPr>
          <w:rStyle w:val="Uwydatnienie"/>
          <w:rFonts w:asciiTheme="minorHAnsi" w:hAnsiTheme="minorHAnsi" w:cstheme="minorHAnsi"/>
        </w:rPr>
        <w:t>Enefit</w:t>
      </w:r>
      <w:proofErr w:type="spellEnd"/>
      <w:r w:rsidRPr="003F4702">
        <w:rPr>
          <w:rStyle w:val="Uwydatnienie"/>
          <w:rFonts w:asciiTheme="minorHAnsi" w:hAnsiTheme="minorHAnsi" w:cstheme="minorHAnsi"/>
        </w:rPr>
        <w:t xml:space="preserve"> czy MOYA energia walczyły o kierowców obniżkami i ofertami specjalnymi. We wrześniu część tych promocji już się zakończyła i w cennikach ponownie widzimy standardowe stawki. Nie wszyscy jednak rezygnują z rabatów – dobrym przykładem jest Budimex </w:t>
      </w:r>
      <w:proofErr w:type="spellStart"/>
      <w:r w:rsidRPr="003F4702">
        <w:rPr>
          <w:rStyle w:val="Uwydatnienie"/>
          <w:rFonts w:asciiTheme="minorHAnsi" w:hAnsiTheme="minorHAnsi" w:cstheme="minorHAnsi"/>
        </w:rPr>
        <w:t>mobility</w:t>
      </w:r>
      <w:proofErr w:type="spellEnd"/>
      <w:r w:rsidRPr="003F4702">
        <w:rPr>
          <w:rStyle w:val="Uwydatnienie"/>
          <w:rFonts w:asciiTheme="minorHAnsi" w:hAnsiTheme="minorHAnsi" w:cstheme="minorHAnsi"/>
        </w:rPr>
        <w:t>, który utrzymał wakacyjną promocję do końca września. To pokazuje, że cena coraz częściej staje się jednym z narzędzi walki konkurencyjnej pomiędzy operatorami, a dla kierowców śledzenie aktualnych ofert może oznaczać bardzo konkretne oszczędności”</w:t>
      </w:r>
      <w:r w:rsidRPr="003F4702">
        <w:rPr>
          <w:rFonts w:asciiTheme="minorHAnsi" w:hAnsiTheme="minorHAnsi" w:cstheme="minorHAnsi"/>
        </w:rPr>
        <w:t xml:space="preserve"> – komentuje </w:t>
      </w:r>
      <w:r w:rsidRPr="003F4702">
        <w:rPr>
          <w:rStyle w:val="Pogrubienie"/>
          <w:rFonts w:asciiTheme="minorHAnsi" w:hAnsiTheme="minorHAnsi" w:cstheme="minorHAnsi"/>
        </w:rPr>
        <w:t>Adrian Nocuń</w:t>
      </w:r>
      <w:r w:rsidRPr="002518C9">
        <w:rPr>
          <w:rStyle w:val="Pogrubienie"/>
          <w:rFonts w:asciiTheme="minorHAnsi" w:hAnsiTheme="minorHAnsi" w:cstheme="minorHAnsi"/>
          <w:b w:val="0"/>
          <w:bCs w:val="0"/>
        </w:rPr>
        <w:t xml:space="preserve">, CEO </w:t>
      </w:r>
      <w:proofErr w:type="spellStart"/>
      <w:r w:rsidRPr="002518C9">
        <w:rPr>
          <w:rStyle w:val="Pogrubienie"/>
          <w:rFonts w:asciiTheme="minorHAnsi" w:hAnsiTheme="minorHAnsi" w:cstheme="minorHAnsi"/>
          <w:b w:val="0"/>
          <w:bCs w:val="0"/>
        </w:rPr>
        <w:t>Elocity</w:t>
      </w:r>
      <w:proofErr w:type="spellEnd"/>
      <w:r w:rsidRPr="002518C9">
        <w:rPr>
          <w:rStyle w:val="Pogrubienie"/>
          <w:rFonts w:asciiTheme="minorHAnsi" w:hAnsiTheme="minorHAnsi" w:cstheme="minorHAnsi"/>
          <w:b w:val="0"/>
          <w:bCs w:val="0"/>
        </w:rPr>
        <w:t>, partnera głównego Rankingu cen ładowania.</w:t>
      </w:r>
    </w:p>
    <w:p w14:paraId="10DEBB0D" w14:textId="77777777" w:rsidR="00BD3B87" w:rsidRPr="003F4702" w:rsidRDefault="00BD3B87" w:rsidP="002518C9">
      <w:pPr>
        <w:spacing w:line="276" w:lineRule="auto"/>
        <w:jc w:val="both"/>
        <w:rPr>
          <w:rFonts w:cstheme="minorHAnsi"/>
          <w:color w:val="000000" w:themeColor="text1"/>
        </w:rPr>
      </w:pPr>
    </w:p>
    <w:p w14:paraId="0572A84A" w14:textId="77777777" w:rsidR="00BD3B87" w:rsidRDefault="00BD3B87" w:rsidP="002518C9">
      <w:pPr>
        <w:spacing w:line="276" w:lineRule="auto"/>
        <w:jc w:val="both"/>
      </w:pPr>
      <w:r w:rsidRPr="003F4702">
        <w:rPr>
          <w:rFonts w:eastAsia="Calibri" w:cstheme="minorHAnsi"/>
          <w:b/>
          <w:bCs/>
          <w:color w:val="000000" w:themeColor="text1"/>
        </w:rPr>
        <w:t xml:space="preserve">Interaktywny Ranking cen ładowania w Polsce: </w:t>
      </w:r>
      <w:hyperlink r:id="rId10" w:history="1">
        <w:r w:rsidRPr="003F4702">
          <w:rPr>
            <w:rFonts w:eastAsia="Calibri" w:cstheme="minorHAnsi"/>
            <w:color w:val="000000" w:themeColor="text1"/>
            <w:u w:val="single"/>
          </w:rPr>
          <w:t>elektromobilni.pl/ranking-cen-</w:t>
        </w:r>
        <w:proofErr w:type="spellStart"/>
        <w:r w:rsidRPr="003F4702">
          <w:rPr>
            <w:rFonts w:eastAsia="Calibri" w:cstheme="minorHAnsi"/>
            <w:color w:val="000000" w:themeColor="text1"/>
            <w:u w:val="single"/>
          </w:rPr>
          <w:t>ladowania</w:t>
        </w:r>
        <w:proofErr w:type="spellEnd"/>
        <w:r w:rsidRPr="003F4702">
          <w:rPr>
            <w:rFonts w:eastAsia="Calibri" w:cstheme="minorHAnsi"/>
            <w:color w:val="000000" w:themeColor="text1"/>
            <w:u w:val="single"/>
          </w:rPr>
          <w:t>-w-</w:t>
        </w:r>
        <w:proofErr w:type="spellStart"/>
        <w:r w:rsidRPr="003F4702">
          <w:rPr>
            <w:rFonts w:eastAsia="Calibri" w:cstheme="minorHAnsi"/>
            <w:color w:val="000000" w:themeColor="text1"/>
            <w:u w:val="single"/>
          </w:rPr>
          <w:t>polsce</w:t>
        </w:r>
        <w:proofErr w:type="spellEnd"/>
      </w:hyperlink>
    </w:p>
    <w:p w14:paraId="17C5ECFE" w14:textId="06C79681" w:rsidR="00F326A0" w:rsidRDefault="00F326A0" w:rsidP="002518C9">
      <w:pPr>
        <w:spacing w:line="276" w:lineRule="auto"/>
        <w:jc w:val="both"/>
      </w:pPr>
    </w:p>
    <w:p w14:paraId="6761CA0D" w14:textId="4BCEC162" w:rsidR="00F326A0" w:rsidRPr="003F4702" w:rsidRDefault="00F326A0" w:rsidP="002518C9">
      <w:pPr>
        <w:spacing w:line="276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55DDA4F1" wp14:editId="024FD493">
            <wp:extent cx="5760720" cy="8152130"/>
            <wp:effectExtent l="0" t="0" r="5080" b="1270"/>
            <wp:docPr id="123782818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828187" name="Obraz 123782818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7232A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</w:p>
    <w:p w14:paraId="36BCDA86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  <w:r w:rsidRPr="003F4702">
        <w:rPr>
          <w:rFonts w:cstheme="minorHAnsi"/>
        </w:rPr>
        <w:lastRenderedPageBreak/>
        <w:t>--</w:t>
      </w:r>
    </w:p>
    <w:p w14:paraId="06181F79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  <w:r w:rsidRPr="003F4702">
        <w:rPr>
          <w:rFonts w:cstheme="minorHAnsi"/>
        </w:rPr>
        <w:t xml:space="preserve">W sierpniowym rankingu uwzględniono stawki następujących operatorów: Tesla </w:t>
      </w:r>
      <w:proofErr w:type="spellStart"/>
      <w:r w:rsidRPr="003F4702">
        <w:rPr>
          <w:rFonts w:cstheme="minorHAnsi"/>
        </w:rPr>
        <w:t>Supercharger</w:t>
      </w:r>
      <w:proofErr w:type="spellEnd"/>
      <w:r w:rsidRPr="003F4702">
        <w:rPr>
          <w:rFonts w:cstheme="minorHAnsi"/>
        </w:rPr>
        <w:t xml:space="preserve">, </w:t>
      </w:r>
      <w:proofErr w:type="spellStart"/>
      <w:r w:rsidRPr="003F4702">
        <w:rPr>
          <w:rFonts w:cstheme="minorHAnsi"/>
        </w:rPr>
        <w:t>ChargeEuropa</w:t>
      </w:r>
      <w:proofErr w:type="spellEnd"/>
      <w:r w:rsidRPr="003F4702">
        <w:rPr>
          <w:rFonts w:cstheme="minorHAnsi"/>
        </w:rPr>
        <w:t xml:space="preserve">, </w:t>
      </w:r>
      <w:proofErr w:type="spellStart"/>
      <w:r w:rsidRPr="003F4702">
        <w:rPr>
          <w:rFonts w:cstheme="minorHAnsi"/>
        </w:rPr>
        <w:t>Polenergia</w:t>
      </w:r>
      <w:proofErr w:type="spellEnd"/>
      <w:r w:rsidRPr="003F4702">
        <w:rPr>
          <w:rFonts w:cstheme="minorHAnsi"/>
        </w:rPr>
        <w:t xml:space="preserve"> </w:t>
      </w:r>
      <w:proofErr w:type="spellStart"/>
      <w:r w:rsidRPr="003F4702">
        <w:rPr>
          <w:rFonts w:cstheme="minorHAnsi"/>
        </w:rPr>
        <w:t>eMobility</w:t>
      </w:r>
      <w:proofErr w:type="spellEnd"/>
      <w:r w:rsidRPr="003F4702">
        <w:rPr>
          <w:rFonts w:cstheme="minorHAnsi"/>
        </w:rPr>
        <w:t xml:space="preserve">, </w:t>
      </w:r>
      <w:proofErr w:type="spellStart"/>
      <w:r w:rsidRPr="003F4702">
        <w:rPr>
          <w:rFonts w:cstheme="minorHAnsi"/>
        </w:rPr>
        <w:t>ChargeIn</w:t>
      </w:r>
      <w:proofErr w:type="spellEnd"/>
      <w:r w:rsidRPr="003F4702">
        <w:rPr>
          <w:rFonts w:cstheme="minorHAnsi"/>
        </w:rPr>
        <w:t xml:space="preserve">, </w:t>
      </w:r>
      <w:proofErr w:type="spellStart"/>
      <w:r w:rsidRPr="003F4702">
        <w:rPr>
          <w:rFonts w:cstheme="minorHAnsi"/>
        </w:rPr>
        <w:t>Enefit</w:t>
      </w:r>
      <w:proofErr w:type="spellEnd"/>
      <w:r w:rsidRPr="003F4702">
        <w:rPr>
          <w:rFonts w:cstheme="minorHAnsi"/>
        </w:rPr>
        <w:t xml:space="preserve">, </w:t>
      </w:r>
      <w:proofErr w:type="spellStart"/>
      <w:r w:rsidRPr="003F4702">
        <w:rPr>
          <w:rFonts w:cstheme="minorHAnsi"/>
        </w:rPr>
        <w:t>ScreenCharge</w:t>
      </w:r>
      <w:proofErr w:type="spellEnd"/>
      <w:r w:rsidRPr="003F4702">
        <w:rPr>
          <w:rFonts w:cstheme="minorHAnsi"/>
        </w:rPr>
        <w:t xml:space="preserve">, Lidl, </w:t>
      </w:r>
      <w:proofErr w:type="spellStart"/>
      <w:r w:rsidRPr="003F4702">
        <w:rPr>
          <w:rFonts w:cstheme="minorHAnsi"/>
        </w:rPr>
        <w:t>Eleport</w:t>
      </w:r>
      <w:proofErr w:type="spellEnd"/>
      <w:r w:rsidRPr="003F4702">
        <w:rPr>
          <w:rFonts w:cstheme="minorHAnsi"/>
        </w:rPr>
        <w:t xml:space="preserve">, Budimex </w:t>
      </w:r>
      <w:proofErr w:type="spellStart"/>
      <w:r w:rsidRPr="003F4702">
        <w:rPr>
          <w:rFonts w:cstheme="minorHAnsi"/>
        </w:rPr>
        <w:t>Mobility</w:t>
      </w:r>
      <w:proofErr w:type="spellEnd"/>
      <w:r w:rsidRPr="003F4702">
        <w:rPr>
          <w:rFonts w:cstheme="minorHAnsi"/>
        </w:rPr>
        <w:t xml:space="preserve">, Tauron, MOYA energia, </w:t>
      </w:r>
      <w:proofErr w:type="spellStart"/>
      <w:r w:rsidRPr="003F4702">
        <w:rPr>
          <w:rFonts w:cstheme="minorHAnsi"/>
        </w:rPr>
        <w:t>Powerdot</w:t>
      </w:r>
      <w:proofErr w:type="spellEnd"/>
      <w:r w:rsidRPr="003F4702">
        <w:rPr>
          <w:rFonts w:cstheme="minorHAnsi"/>
        </w:rPr>
        <w:t xml:space="preserve">, </w:t>
      </w:r>
      <w:proofErr w:type="spellStart"/>
      <w:r w:rsidRPr="003F4702">
        <w:rPr>
          <w:rFonts w:cstheme="minorHAnsi"/>
        </w:rPr>
        <w:t>GreenWay</w:t>
      </w:r>
      <w:proofErr w:type="spellEnd"/>
      <w:r w:rsidRPr="003F4702">
        <w:rPr>
          <w:rFonts w:cstheme="minorHAnsi"/>
        </w:rPr>
        <w:t xml:space="preserve"> Polska, Shell </w:t>
      </w:r>
      <w:proofErr w:type="spellStart"/>
      <w:r w:rsidRPr="003F4702">
        <w:rPr>
          <w:rFonts w:cstheme="minorHAnsi"/>
        </w:rPr>
        <w:t>Recharge</w:t>
      </w:r>
      <w:proofErr w:type="spellEnd"/>
      <w:r w:rsidRPr="003F4702">
        <w:rPr>
          <w:rFonts w:cstheme="minorHAnsi"/>
        </w:rPr>
        <w:t xml:space="preserve">, NOXO, IONITY, </w:t>
      </w:r>
      <w:proofErr w:type="spellStart"/>
      <w:r w:rsidRPr="003F4702">
        <w:rPr>
          <w:rFonts w:cstheme="minorHAnsi"/>
        </w:rPr>
        <w:t>Ekoen</w:t>
      </w:r>
      <w:proofErr w:type="spellEnd"/>
      <w:r w:rsidRPr="003F4702">
        <w:rPr>
          <w:rFonts w:cstheme="minorHAnsi"/>
        </w:rPr>
        <w:t xml:space="preserve">, </w:t>
      </w:r>
      <w:proofErr w:type="spellStart"/>
      <w:r w:rsidRPr="003F4702">
        <w:rPr>
          <w:rFonts w:cstheme="minorHAnsi"/>
        </w:rPr>
        <w:t>Elomoto</w:t>
      </w:r>
      <w:proofErr w:type="spellEnd"/>
      <w:r w:rsidRPr="003F4702">
        <w:rPr>
          <w:rFonts w:cstheme="minorHAnsi"/>
        </w:rPr>
        <w:t xml:space="preserve">, ORLEN </w:t>
      </w:r>
      <w:proofErr w:type="spellStart"/>
      <w:r w:rsidRPr="003F4702">
        <w:rPr>
          <w:rFonts w:cstheme="minorHAnsi"/>
        </w:rPr>
        <w:t>Charge</w:t>
      </w:r>
      <w:proofErr w:type="spellEnd"/>
      <w:r w:rsidRPr="003F4702">
        <w:rPr>
          <w:rFonts w:cstheme="minorHAnsi"/>
        </w:rPr>
        <w:t>.</w:t>
      </w:r>
    </w:p>
    <w:p w14:paraId="667C21CC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</w:p>
    <w:p w14:paraId="43297BD5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  <w:r w:rsidRPr="003F4702">
        <w:rPr>
          <w:rFonts w:cstheme="minorHAnsi"/>
        </w:rPr>
        <w:t>Ranking cen ładowania, przygotowany przez Fundację EV Klub Polska oraz portal użytkowników samochodów elektrycznych elektromobilni.pl, aktualizowany jest cyklicznie co miesiąc. Ranking publikowany jest na stronach evklub.pl, elektromobilni.pl, w aplikacji EV Klub Polska oraz na profilach mediów społecznościowych.</w:t>
      </w:r>
    </w:p>
    <w:p w14:paraId="2980635C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</w:p>
    <w:p w14:paraId="3D70971D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  <w:r w:rsidRPr="003F4702">
        <w:rPr>
          <w:rFonts w:cstheme="minorHAnsi"/>
        </w:rPr>
        <w:t xml:space="preserve">Więcej informacji: </w:t>
      </w:r>
      <w:r w:rsidRPr="003F4702">
        <w:rPr>
          <w:rFonts w:cstheme="minorHAnsi"/>
          <w:b/>
          <w:bCs/>
        </w:rPr>
        <w:t>www.EVklub.pl</w:t>
      </w:r>
      <w:r w:rsidRPr="003F4702">
        <w:rPr>
          <w:rFonts w:cstheme="minorHAnsi"/>
        </w:rPr>
        <w:t xml:space="preserve"> oraz </w:t>
      </w:r>
      <w:r w:rsidRPr="003F4702">
        <w:rPr>
          <w:rFonts w:cstheme="minorHAnsi"/>
          <w:b/>
          <w:bCs/>
        </w:rPr>
        <w:t>elektromobilni.pl</w:t>
      </w:r>
    </w:p>
    <w:p w14:paraId="23621372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</w:p>
    <w:p w14:paraId="0490C313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  <w:r w:rsidRPr="003F4702">
        <w:rPr>
          <w:rFonts w:cstheme="minorHAnsi"/>
        </w:rPr>
        <w:t>--</w:t>
      </w:r>
    </w:p>
    <w:p w14:paraId="40986E65" w14:textId="77777777" w:rsidR="00A450BA" w:rsidRPr="003F4702" w:rsidRDefault="00A450BA" w:rsidP="002518C9">
      <w:pPr>
        <w:spacing w:line="276" w:lineRule="auto"/>
        <w:jc w:val="both"/>
        <w:rPr>
          <w:rFonts w:cstheme="minorHAnsi"/>
          <w:b/>
          <w:bCs/>
        </w:rPr>
      </w:pPr>
    </w:p>
    <w:p w14:paraId="32CFDEE6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  <w:r w:rsidRPr="003F4702">
        <w:rPr>
          <w:rFonts w:cstheme="minorHAnsi"/>
          <w:b/>
          <w:bCs/>
        </w:rPr>
        <w:t>Kontakt</w:t>
      </w:r>
    </w:p>
    <w:p w14:paraId="6BA6FEF6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  <w:r w:rsidRPr="003F4702">
        <w:rPr>
          <w:rFonts w:cstheme="minorHAnsi"/>
          <w:b/>
          <w:bCs/>
        </w:rPr>
        <w:t>Łukasz Lewandowski</w:t>
      </w:r>
      <w:r w:rsidRPr="003F4702">
        <w:rPr>
          <w:rFonts w:cstheme="minorHAnsi"/>
        </w:rPr>
        <w:t>, Prezes Fundacji EV Klub Polska</w:t>
      </w:r>
    </w:p>
    <w:p w14:paraId="0090024E" w14:textId="77777777" w:rsidR="00A450BA" w:rsidRPr="003F4702" w:rsidRDefault="00A450BA" w:rsidP="002518C9">
      <w:pPr>
        <w:spacing w:line="276" w:lineRule="auto"/>
        <w:jc w:val="both"/>
        <w:rPr>
          <w:rFonts w:cstheme="minorHAnsi"/>
          <w:lang w:val="en-US"/>
        </w:rPr>
      </w:pPr>
      <w:r w:rsidRPr="003F4702">
        <w:rPr>
          <w:rFonts w:cstheme="minorHAnsi"/>
          <w:lang w:val="en-US"/>
        </w:rPr>
        <w:t>e-mail: lukasz.lewandowski@evklub.pl; tel.: (+48) 736 846 632</w:t>
      </w:r>
    </w:p>
    <w:p w14:paraId="2FB52335" w14:textId="77777777" w:rsidR="00A450BA" w:rsidRPr="003F4702" w:rsidRDefault="00A450BA" w:rsidP="002518C9">
      <w:pPr>
        <w:spacing w:line="276" w:lineRule="auto"/>
        <w:jc w:val="both"/>
        <w:rPr>
          <w:rFonts w:cstheme="minorHAnsi"/>
          <w:b/>
          <w:bCs/>
          <w:lang w:val="en-US"/>
        </w:rPr>
      </w:pPr>
    </w:p>
    <w:p w14:paraId="53147CEC" w14:textId="77777777" w:rsidR="00A450BA" w:rsidRPr="003F4702" w:rsidRDefault="00A450BA" w:rsidP="002518C9">
      <w:pPr>
        <w:spacing w:line="276" w:lineRule="auto"/>
        <w:jc w:val="both"/>
        <w:rPr>
          <w:rFonts w:cstheme="minorHAnsi"/>
        </w:rPr>
      </w:pPr>
      <w:r w:rsidRPr="003F4702">
        <w:rPr>
          <w:rFonts w:cstheme="minorHAnsi"/>
          <w:b/>
          <w:bCs/>
        </w:rPr>
        <w:t>Maciej Gis</w:t>
      </w:r>
      <w:r w:rsidRPr="003F4702">
        <w:rPr>
          <w:rFonts w:cstheme="minorHAnsi"/>
        </w:rPr>
        <w:t>, Dyrektor Komunikacji i PR PSNM, Redaktor Naczelny elektromobilni.pl</w:t>
      </w:r>
    </w:p>
    <w:p w14:paraId="540958D1" w14:textId="617845A0" w:rsidR="00A450BA" w:rsidRPr="003F4702" w:rsidRDefault="00A450BA" w:rsidP="002518C9">
      <w:pPr>
        <w:spacing w:line="276" w:lineRule="auto"/>
        <w:jc w:val="both"/>
        <w:rPr>
          <w:rFonts w:cstheme="minorHAnsi"/>
          <w:lang w:val="en-US"/>
        </w:rPr>
      </w:pPr>
      <w:r w:rsidRPr="003F4702">
        <w:rPr>
          <w:rFonts w:cstheme="minorHAnsi"/>
          <w:lang w:val="en-US"/>
        </w:rPr>
        <w:t>e-mail: maciej.gis@psnm.org; tel.: (+48) 606 740 357</w:t>
      </w:r>
    </w:p>
    <w:p w14:paraId="23674B68" w14:textId="2EAB41C4" w:rsidR="00E96368" w:rsidRPr="003F4702" w:rsidRDefault="00E96368" w:rsidP="002518C9">
      <w:pPr>
        <w:spacing w:line="276" w:lineRule="auto"/>
        <w:rPr>
          <w:rFonts w:cstheme="minorHAnsi"/>
          <w:lang w:val="en-US"/>
        </w:rPr>
      </w:pPr>
    </w:p>
    <w:sectPr w:rsidR="00E96368" w:rsidRPr="003F4702" w:rsidSect="00B81E6F">
      <w:headerReference w:type="default" r:id="rId12"/>
      <w:footerReference w:type="default" r:id="rId13"/>
      <w:pgSz w:w="11906" w:h="16838"/>
      <w:pgMar w:top="21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14A4E0" w14:textId="77777777" w:rsidR="00D40142" w:rsidRDefault="00D40142" w:rsidP="00870639">
      <w:r>
        <w:separator/>
      </w:r>
    </w:p>
  </w:endnote>
  <w:endnote w:type="continuationSeparator" w:id="0">
    <w:p w14:paraId="7C2DF1DF" w14:textId="77777777" w:rsidR="00D40142" w:rsidRDefault="00D40142" w:rsidP="0087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934A01" w14:textId="7983D40E" w:rsidR="00870639" w:rsidRDefault="00E96368">
    <w:pPr>
      <w:pStyle w:val="Stopka"/>
    </w:pPr>
    <w:r w:rsidRPr="00E96368">
      <w:rPr>
        <w:noProof/>
      </w:rPr>
      <w:drawing>
        <wp:anchor distT="0" distB="0" distL="114300" distR="114300" simplePos="0" relativeHeight="251660288" behindDoc="0" locked="0" layoutInCell="1" allowOverlap="1" wp14:anchorId="516B1FAF" wp14:editId="2709D8F6">
          <wp:simplePos x="0" y="0"/>
          <wp:positionH relativeFrom="column">
            <wp:posOffset>-5080</wp:posOffset>
          </wp:positionH>
          <wp:positionV relativeFrom="paragraph">
            <wp:posOffset>104978</wp:posOffset>
          </wp:positionV>
          <wp:extent cx="5760720" cy="232410"/>
          <wp:effectExtent l="0" t="0" r="5080" b="0"/>
          <wp:wrapNone/>
          <wp:docPr id="2543700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37003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32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6B7992" w14:textId="77777777" w:rsidR="00D40142" w:rsidRDefault="00D40142" w:rsidP="00870639">
      <w:r>
        <w:separator/>
      </w:r>
    </w:p>
  </w:footnote>
  <w:footnote w:type="continuationSeparator" w:id="0">
    <w:p w14:paraId="09074F5D" w14:textId="77777777" w:rsidR="00D40142" w:rsidRDefault="00D40142" w:rsidP="00870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655523" w14:textId="4C577AF1" w:rsidR="00870639" w:rsidRDefault="003E7657">
    <w:pPr>
      <w:pStyle w:val="Nagwek"/>
    </w:pPr>
    <w:r w:rsidRPr="00B81E6F">
      <w:rPr>
        <w:noProof/>
      </w:rPr>
      <w:drawing>
        <wp:anchor distT="0" distB="0" distL="114300" distR="114300" simplePos="0" relativeHeight="251662336" behindDoc="0" locked="0" layoutInCell="1" allowOverlap="1" wp14:anchorId="679E2209" wp14:editId="71DAA925">
          <wp:simplePos x="0" y="0"/>
          <wp:positionH relativeFrom="column">
            <wp:posOffset>3695308</wp:posOffset>
          </wp:positionH>
          <wp:positionV relativeFrom="paragraph">
            <wp:posOffset>-2107</wp:posOffset>
          </wp:positionV>
          <wp:extent cx="2055064" cy="574040"/>
          <wp:effectExtent l="0" t="0" r="2540" b="0"/>
          <wp:wrapNone/>
          <wp:docPr id="2877772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77720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55064" cy="574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E6F">
      <w:rPr>
        <w:noProof/>
      </w:rPr>
      <w:drawing>
        <wp:anchor distT="0" distB="0" distL="114300" distR="114300" simplePos="0" relativeHeight="251661312" behindDoc="0" locked="0" layoutInCell="1" allowOverlap="1" wp14:anchorId="7E7EE6E9" wp14:editId="6D1C2A46">
          <wp:simplePos x="0" y="0"/>
          <wp:positionH relativeFrom="column">
            <wp:posOffset>-4850</wp:posOffset>
          </wp:positionH>
          <wp:positionV relativeFrom="paragraph">
            <wp:posOffset>-2108</wp:posOffset>
          </wp:positionV>
          <wp:extent cx="1964987" cy="574558"/>
          <wp:effectExtent l="0" t="0" r="3810" b="0"/>
          <wp:wrapNone/>
          <wp:docPr id="2591901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19010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84968" cy="5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65699F"/>
    <w:multiLevelType w:val="multilevel"/>
    <w:tmpl w:val="B332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C4696"/>
    <w:multiLevelType w:val="multilevel"/>
    <w:tmpl w:val="53C0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5492A"/>
    <w:multiLevelType w:val="hybridMultilevel"/>
    <w:tmpl w:val="33885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77D37"/>
    <w:multiLevelType w:val="hybridMultilevel"/>
    <w:tmpl w:val="E43EE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C424E"/>
    <w:multiLevelType w:val="hybridMultilevel"/>
    <w:tmpl w:val="CC487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45F24"/>
    <w:multiLevelType w:val="multilevel"/>
    <w:tmpl w:val="6D8C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1988498">
    <w:abstractNumId w:val="4"/>
  </w:num>
  <w:num w:numId="2" w16cid:durableId="1878471478">
    <w:abstractNumId w:val="3"/>
  </w:num>
  <w:num w:numId="3" w16cid:durableId="1484587054">
    <w:abstractNumId w:val="2"/>
  </w:num>
  <w:num w:numId="4" w16cid:durableId="1390883659">
    <w:abstractNumId w:val="1"/>
  </w:num>
  <w:num w:numId="5" w16cid:durableId="1050232752">
    <w:abstractNumId w:val="0"/>
  </w:num>
  <w:num w:numId="6" w16cid:durableId="76264508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39"/>
    <w:rsid w:val="00013B3F"/>
    <w:rsid w:val="00015665"/>
    <w:rsid w:val="00034AB4"/>
    <w:rsid w:val="00042FEF"/>
    <w:rsid w:val="00044618"/>
    <w:rsid w:val="000A456E"/>
    <w:rsid w:val="000A4691"/>
    <w:rsid w:val="000B6A8C"/>
    <w:rsid w:val="000C35F9"/>
    <w:rsid w:val="000E2E70"/>
    <w:rsid w:val="000E443D"/>
    <w:rsid w:val="000E5AAE"/>
    <w:rsid w:val="00110126"/>
    <w:rsid w:val="0011653F"/>
    <w:rsid w:val="00130F52"/>
    <w:rsid w:val="00153074"/>
    <w:rsid w:val="00154177"/>
    <w:rsid w:val="0015772B"/>
    <w:rsid w:val="00161499"/>
    <w:rsid w:val="0016431A"/>
    <w:rsid w:val="00167D8D"/>
    <w:rsid w:val="00176875"/>
    <w:rsid w:val="001774A8"/>
    <w:rsid w:val="00193C18"/>
    <w:rsid w:val="001A14AA"/>
    <w:rsid w:val="001B1300"/>
    <w:rsid w:val="001B219C"/>
    <w:rsid w:val="001C5FCE"/>
    <w:rsid w:val="001E12E7"/>
    <w:rsid w:val="001F07D1"/>
    <w:rsid w:val="001F3145"/>
    <w:rsid w:val="0021395D"/>
    <w:rsid w:val="00223CA1"/>
    <w:rsid w:val="00233ADB"/>
    <w:rsid w:val="00236774"/>
    <w:rsid w:val="002518C9"/>
    <w:rsid w:val="002833E5"/>
    <w:rsid w:val="002836CF"/>
    <w:rsid w:val="00290F6B"/>
    <w:rsid w:val="002912EC"/>
    <w:rsid w:val="002A70E7"/>
    <w:rsid w:val="002C5D96"/>
    <w:rsid w:val="002D2DA1"/>
    <w:rsid w:val="002F7560"/>
    <w:rsid w:val="003179E0"/>
    <w:rsid w:val="00323D0E"/>
    <w:rsid w:val="003266E7"/>
    <w:rsid w:val="0033309B"/>
    <w:rsid w:val="003767D8"/>
    <w:rsid w:val="00391214"/>
    <w:rsid w:val="003A2411"/>
    <w:rsid w:val="003B3493"/>
    <w:rsid w:val="003C5142"/>
    <w:rsid w:val="003D28A5"/>
    <w:rsid w:val="003E7657"/>
    <w:rsid w:val="003F0A8C"/>
    <w:rsid w:val="003F45F0"/>
    <w:rsid w:val="003F4702"/>
    <w:rsid w:val="00417BC3"/>
    <w:rsid w:val="004258E5"/>
    <w:rsid w:val="0042763A"/>
    <w:rsid w:val="00447E9C"/>
    <w:rsid w:val="004502D1"/>
    <w:rsid w:val="00453897"/>
    <w:rsid w:val="004601D2"/>
    <w:rsid w:val="00463CDC"/>
    <w:rsid w:val="00476C99"/>
    <w:rsid w:val="00476E42"/>
    <w:rsid w:val="0048211E"/>
    <w:rsid w:val="00482541"/>
    <w:rsid w:val="004B3393"/>
    <w:rsid w:val="004B43DE"/>
    <w:rsid w:val="004C634F"/>
    <w:rsid w:val="004D6730"/>
    <w:rsid w:val="004E1FEE"/>
    <w:rsid w:val="004E676B"/>
    <w:rsid w:val="004E6B63"/>
    <w:rsid w:val="004F0B58"/>
    <w:rsid w:val="00503B66"/>
    <w:rsid w:val="00523D5A"/>
    <w:rsid w:val="00547E02"/>
    <w:rsid w:val="005571CD"/>
    <w:rsid w:val="00564355"/>
    <w:rsid w:val="00571E7A"/>
    <w:rsid w:val="0057758E"/>
    <w:rsid w:val="005A46E7"/>
    <w:rsid w:val="005A58BE"/>
    <w:rsid w:val="005B1793"/>
    <w:rsid w:val="005B7606"/>
    <w:rsid w:val="005B7B64"/>
    <w:rsid w:val="005F0BF6"/>
    <w:rsid w:val="005F6073"/>
    <w:rsid w:val="005F6433"/>
    <w:rsid w:val="00602EA7"/>
    <w:rsid w:val="00673AA2"/>
    <w:rsid w:val="006944E7"/>
    <w:rsid w:val="006948B2"/>
    <w:rsid w:val="006A0F24"/>
    <w:rsid w:val="006B5087"/>
    <w:rsid w:val="006C5940"/>
    <w:rsid w:val="006C7C1A"/>
    <w:rsid w:val="006D4F74"/>
    <w:rsid w:val="007151B4"/>
    <w:rsid w:val="00721F5A"/>
    <w:rsid w:val="00727A0C"/>
    <w:rsid w:val="0076789F"/>
    <w:rsid w:val="00781218"/>
    <w:rsid w:val="007A25F4"/>
    <w:rsid w:val="007E6F97"/>
    <w:rsid w:val="007F0C99"/>
    <w:rsid w:val="007F32EB"/>
    <w:rsid w:val="008010C2"/>
    <w:rsid w:val="00825B6E"/>
    <w:rsid w:val="00833D96"/>
    <w:rsid w:val="00837797"/>
    <w:rsid w:val="00862184"/>
    <w:rsid w:val="00866B17"/>
    <w:rsid w:val="00870639"/>
    <w:rsid w:val="0089026F"/>
    <w:rsid w:val="008A2021"/>
    <w:rsid w:val="008B069A"/>
    <w:rsid w:val="008C0718"/>
    <w:rsid w:val="008C3DD8"/>
    <w:rsid w:val="008C6CEE"/>
    <w:rsid w:val="008F0C8A"/>
    <w:rsid w:val="00900F17"/>
    <w:rsid w:val="00905108"/>
    <w:rsid w:val="00910EE0"/>
    <w:rsid w:val="009226F0"/>
    <w:rsid w:val="009364B8"/>
    <w:rsid w:val="00936F78"/>
    <w:rsid w:val="00954EBC"/>
    <w:rsid w:val="00963F44"/>
    <w:rsid w:val="00967173"/>
    <w:rsid w:val="009768AC"/>
    <w:rsid w:val="00981977"/>
    <w:rsid w:val="00991123"/>
    <w:rsid w:val="009965BB"/>
    <w:rsid w:val="009A0EAC"/>
    <w:rsid w:val="009A22A7"/>
    <w:rsid w:val="009B4886"/>
    <w:rsid w:val="009C3D22"/>
    <w:rsid w:val="009C430C"/>
    <w:rsid w:val="009C4941"/>
    <w:rsid w:val="009E2C6F"/>
    <w:rsid w:val="00A23AF1"/>
    <w:rsid w:val="00A31AD2"/>
    <w:rsid w:val="00A3649C"/>
    <w:rsid w:val="00A37D0F"/>
    <w:rsid w:val="00A450BA"/>
    <w:rsid w:val="00A608C3"/>
    <w:rsid w:val="00A61980"/>
    <w:rsid w:val="00A67976"/>
    <w:rsid w:val="00A94EFD"/>
    <w:rsid w:val="00AA1BBC"/>
    <w:rsid w:val="00AA33D4"/>
    <w:rsid w:val="00AB1CB9"/>
    <w:rsid w:val="00AB5765"/>
    <w:rsid w:val="00B01334"/>
    <w:rsid w:val="00B12C30"/>
    <w:rsid w:val="00B1753A"/>
    <w:rsid w:val="00B25FDC"/>
    <w:rsid w:val="00B448D2"/>
    <w:rsid w:val="00B525B3"/>
    <w:rsid w:val="00B55CD0"/>
    <w:rsid w:val="00B63213"/>
    <w:rsid w:val="00B65DC8"/>
    <w:rsid w:val="00B71FCA"/>
    <w:rsid w:val="00B81E6F"/>
    <w:rsid w:val="00B84F63"/>
    <w:rsid w:val="00BA4FC5"/>
    <w:rsid w:val="00BC63FF"/>
    <w:rsid w:val="00BD0934"/>
    <w:rsid w:val="00BD3531"/>
    <w:rsid w:val="00BD3A22"/>
    <w:rsid w:val="00BD3B87"/>
    <w:rsid w:val="00BD7849"/>
    <w:rsid w:val="00BD7C25"/>
    <w:rsid w:val="00BE1469"/>
    <w:rsid w:val="00BE2BE7"/>
    <w:rsid w:val="00BF29F9"/>
    <w:rsid w:val="00BF3AD4"/>
    <w:rsid w:val="00BF6B56"/>
    <w:rsid w:val="00C22690"/>
    <w:rsid w:val="00C429F7"/>
    <w:rsid w:val="00C4615E"/>
    <w:rsid w:val="00C65865"/>
    <w:rsid w:val="00C925E8"/>
    <w:rsid w:val="00CA6732"/>
    <w:rsid w:val="00CC056E"/>
    <w:rsid w:val="00CC7958"/>
    <w:rsid w:val="00CD2E0E"/>
    <w:rsid w:val="00CE0B01"/>
    <w:rsid w:val="00CE1905"/>
    <w:rsid w:val="00CE51BD"/>
    <w:rsid w:val="00D06797"/>
    <w:rsid w:val="00D15772"/>
    <w:rsid w:val="00D40142"/>
    <w:rsid w:val="00D407B7"/>
    <w:rsid w:val="00D46753"/>
    <w:rsid w:val="00D52D5B"/>
    <w:rsid w:val="00D706AC"/>
    <w:rsid w:val="00D73654"/>
    <w:rsid w:val="00D86BBE"/>
    <w:rsid w:val="00DA42CF"/>
    <w:rsid w:val="00DA5915"/>
    <w:rsid w:val="00DC31AB"/>
    <w:rsid w:val="00DC5F8A"/>
    <w:rsid w:val="00DC6A3F"/>
    <w:rsid w:val="00DE3698"/>
    <w:rsid w:val="00DE69A3"/>
    <w:rsid w:val="00E01771"/>
    <w:rsid w:val="00E24AC1"/>
    <w:rsid w:val="00E42652"/>
    <w:rsid w:val="00E54AB3"/>
    <w:rsid w:val="00E84B81"/>
    <w:rsid w:val="00E91099"/>
    <w:rsid w:val="00E96368"/>
    <w:rsid w:val="00EB27C5"/>
    <w:rsid w:val="00EB56F9"/>
    <w:rsid w:val="00EC7C86"/>
    <w:rsid w:val="00ED23AF"/>
    <w:rsid w:val="00ED3852"/>
    <w:rsid w:val="00EE1EA0"/>
    <w:rsid w:val="00EE50A4"/>
    <w:rsid w:val="00EF3CE1"/>
    <w:rsid w:val="00F23BAD"/>
    <w:rsid w:val="00F326A0"/>
    <w:rsid w:val="00F35668"/>
    <w:rsid w:val="00F40A8D"/>
    <w:rsid w:val="00F508A3"/>
    <w:rsid w:val="00F532FE"/>
    <w:rsid w:val="00F56C54"/>
    <w:rsid w:val="00F71CD5"/>
    <w:rsid w:val="00F7548E"/>
    <w:rsid w:val="00F93FA5"/>
    <w:rsid w:val="00FA7F81"/>
    <w:rsid w:val="00FB5F32"/>
    <w:rsid w:val="00FD0342"/>
    <w:rsid w:val="00FE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E2B98"/>
  <w15:chartTrackingRefBased/>
  <w15:docId w15:val="{27C55549-CEB0-A149-9684-14ACC83B1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08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0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0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06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0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06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06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06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06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06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06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06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06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063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063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06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06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06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06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06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0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06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0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06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06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06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063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06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063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063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706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0639"/>
  </w:style>
  <w:style w:type="paragraph" w:styleId="Stopka">
    <w:name w:val="footer"/>
    <w:basedOn w:val="Normalny"/>
    <w:link w:val="StopkaZnak"/>
    <w:uiPriority w:val="99"/>
    <w:unhideWhenUsed/>
    <w:rsid w:val="008706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0639"/>
  </w:style>
  <w:style w:type="character" w:styleId="Hipercze">
    <w:name w:val="Hyperlink"/>
    <w:basedOn w:val="Domylnaczcionkaakapitu"/>
    <w:uiPriority w:val="99"/>
    <w:unhideWhenUsed/>
    <w:rsid w:val="006B5087"/>
    <w:rPr>
      <w:color w:val="0563C1" w:themeColor="hyperlink"/>
      <w:u w:val="single"/>
    </w:rPr>
  </w:style>
  <w:style w:type="paragraph" w:customStyle="1" w:styleId="paragraph">
    <w:name w:val="paragraph"/>
    <w:basedOn w:val="Normalny"/>
    <w:rsid w:val="006B50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6B5087"/>
  </w:style>
  <w:style w:type="paragraph" w:styleId="NormalnyWeb">
    <w:name w:val="Normal (Web)"/>
    <w:basedOn w:val="Normalny"/>
    <w:uiPriority w:val="99"/>
    <w:unhideWhenUsed/>
    <w:rsid w:val="00BF29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xmsonormal">
    <w:name w:val="x_msonormal"/>
    <w:basedOn w:val="Normalny"/>
    <w:rsid w:val="00BF29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8F0C8A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23A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1E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1E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1EA0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E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EA0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673AA2"/>
    <w:rPr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9A0EAC"/>
    <w:rPr>
      <w:b/>
      <w:bCs/>
    </w:rPr>
  </w:style>
  <w:style w:type="paragraph" w:customStyle="1" w:styleId="whitespace-normal">
    <w:name w:val="whitespace-normal"/>
    <w:basedOn w:val="Normalny"/>
    <w:rsid w:val="009A0EA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Uwydatnienie">
    <w:name w:val="Emphasis"/>
    <w:basedOn w:val="Domylnaczcionkaakapitu"/>
    <w:uiPriority w:val="20"/>
    <w:qFormat/>
    <w:rsid w:val="004C634F"/>
    <w:rPr>
      <w:i/>
      <w:iCs/>
    </w:rPr>
  </w:style>
  <w:style w:type="paragraph" w:customStyle="1" w:styleId="font-claude-response-body">
    <w:name w:val="font-claude-response-body"/>
    <w:basedOn w:val="Normalny"/>
    <w:rsid w:val="00BA4FC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1B2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57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1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0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1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4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3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5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lektromobilni.pl/ranking-cen-ladowania-w-pols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4E43891-05B8-E440-88C9-33329692DE92}">
  <we:reference id="wa104381727" version="1.0.1.0" store="pl-PL" storeType="OMEX"/>
  <we:alternateReferences>
    <we:reference id="wa104381727" version="1.0.1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1234</Words>
  <Characters>7336</Characters>
  <Application>Microsoft Office Word</Application>
  <DocSecurity>0</DocSecurity>
  <Lines>215</Lines>
  <Paragraphs>161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Maciej Gis</cp:lastModifiedBy>
  <cp:revision>6</cp:revision>
  <dcterms:created xsi:type="dcterms:W3CDTF">2026-09-15T10:30:00Z</dcterms:created>
  <dcterms:modified xsi:type="dcterms:W3CDTF">2026-09-15T17:47:00Z</dcterms:modified>
</cp:coreProperties>
</file>