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E82F7B" w14:textId="0DF3F3A7" w:rsidR="0033309B" w:rsidRPr="001972F2" w:rsidRDefault="003F2BCF" w:rsidP="00926134">
      <w:pPr>
        <w:spacing w:line="276" w:lineRule="auto"/>
        <w:jc w:val="right"/>
        <w:rPr>
          <w:rFonts w:ascii="Corbel" w:hAnsi="Corbel"/>
          <w:sz w:val="22"/>
          <w:szCs w:val="22"/>
        </w:rPr>
      </w:pPr>
      <w:r w:rsidRPr="001972F2">
        <w:rPr>
          <w:rFonts w:ascii="Corbel" w:hAnsi="Corbel"/>
          <w:sz w:val="22"/>
          <w:szCs w:val="22"/>
        </w:rPr>
        <w:t xml:space="preserve">Warszawa, </w:t>
      </w:r>
      <w:r w:rsidR="004C4CD5">
        <w:rPr>
          <w:rFonts w:ascii="Corbel" w:hAnsi="Corbel"/>
          <w:sz w:val="22"/>
          <w:szCs w:val="22"/>
        </w:rPr>
        <w:t>15</w:t>
      </w:r>
      <w:r w:rsidR="005A4775" w:rsidRPr="001972F2">
        <w:rPr>
          <w:rFonts w:ascii="Corbel" w:hAnsi="Corbel"/>
          <w:sz w:val="22"/>
          <w:szCs w:val="22"/>
        </w:rPr>
        <w:t xml:space="preserve"> </w:t>
      </w:r>
      <w:r w:rsidR="00B44EF8">
        <w:rPr>
          <w:rFonts w:ascii="Corbel" w:hAnsi="Corbel"/>
          <w:sz w:val="22"/>
          <w:szCs w:val="22"/>
        </w:rPr>
        <w:t>lipca</w:t>
      </w:r>
      <w:r w:rsidR="005A4775" w:rsidRPr="001972F2">
        <w:rPr>
          <w:rFonts w:ascii="Corbel" w:hAnsi="Corbel"/>
          <w:sz w:val="22"/>
          <w:szCs w:val="22"/>
        </w:rPr>
        <w:t xml:space="preserve"> </w:t>
      </w:r>
      <w:r w:rsidRPr="001972F2">
        <w:rPr>
          <w:rFonts w:ascii="Corbel" w:hAnsi="Corbel"/>
          <w:sz w:val="22"/>
          <w:szCs w:val="22"/>
        </w:rPr>
        <w:t>202</w:t>
      </w:r>
      <w:r w:rsidR="00057056">
        <w:rPr>
          <w:rFonts w:ascii="Corbel" w:hAnsi="Corbel"/>
          <w:sz w:val="22"/>
          <w:szCs w:val="22"/>
        </w:rPr>
        <w:t>6</w:t>
      </w:r>
      <w:r w:rsidR="005A4775" w:rsidRPr="001972F2">
        <w:rPr>
          <w:rFonts w:ascii="Corbel" w:hAnsi="Corbel"/>
          <w:sz w:val="22"/>
          <w:szCs w:val="22"/>
        </w:rPr>
        <w:t xml:space="preserve"> r.</w:t>
      </w:r>
    </w:p>
    <w:p w14:paraId="18209DF8" w14:textId="7777777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D5849A5" w14:textId="13E0EDC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972F2">
        <w:rPr>
          <w:rFonts w:ascii="Corbel" w:hAnsi="Corbel"/>
          <w:sz w:val="22"/>
          <w:szCs w:val="22"/>
        </w:rPr>
        <w:t>Informacja prasowa</w:t>
      </w:r>
    </w:p>
    <w:p w14:paraId="12C6E797" w14:textId="7777777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7C26860" w14:textId="56DE4F70" w:rsidR="00A36772" w:rsidRDefault="00A36772" w:rsidP="00A36772">
      <w:pPr>
        <w:spacing w:line="276" w:lineRule="auto"/>
        <w:rPr>
          <w:rFonts w:ascii="Corbel" w:eastAsia="Aptos" w:hAnsi="Corbel" w:cs="Times New Roman"/>
          <w:b/>
          <w:bCs/>
          <w:sz w:val="36"/>
          <w:szCs w:val="36"/>
        </w:rPr>
      </w:pPr>
      <w:r w:rsidRPr="001972F2">
        <w:rPr>
          <w:rFonts w:ascii="Corbel" w:eastAsia="Aptos" w:hAnsi="Corbel" w:cs="Times New Roman"/>
          <w:b/>
          <w:bCs/>
          <w:sz w:val="36"/>
          <w:szCs w:val="36"/>
        </w:rPr>
        <w:t>Raport Bezpieczeństwa Pożarowego EV</w:t>
      </w:r>
      <w:r w:rsidRPr="00D57611">
        <w:rPr>
          <w:rFonts w:ascii="Corbel" w:eastAsia="Aptos" w:hAnsi="Corbel" w:cs="Times New Roman"/>
          <w:b/>
          <w:bCs/>
          <w:sz w:val="36"/>
          <w:szCs w:val="36"/>
        </w:rPr>
        <w:t xml:space="preserve">: </w:t>
      </w:r>
      <w:r w:rsidR="006B3E0D" w:rsidRPr="006B3E0D">
        <w:rPr>
          <w:rFonts w:ascii="Corbel" w:eastAsia="Aptos" w:hAnsi="Corbel" w:cs="Times New Roman"/>
          <w:b/>
          <w:bCs/>
          <w:sz w:val="36"/>
          <w:szCs w:val="36"/>
        </w:rPr>
        <w:t xml:space="preserve">nadal bardzo niski </w:t>
      </w:r>
      <w:r w:rsidR="007A0219" w:rsidRPr="007A0219">
        <w:rPr>
          <w:rFonts w:ascii="Corbel" w:eastAsia="Aptos" w:hAnsi="Corbel" w:cs="Times New Roman"/>
          <w:b/>
          <w:bCs/>
          <w:sz w:val="36"/>
          <w:szCs w:val="36"/>
        </w:rPr>
        <w:t>wskaźnik pożarów pojazdów elektrycznych</w:t>
      </w:r>
      <w:r w:rsidR="000152FD">
        <w:rPr>
          <w:rFonts w:ascii="Corbel" w:eastAsia="Aptos" w:hAnsi="Corbel" w:cs="Times New Roman"/>
          <w:b/>
          <w:bCs/>
          <w:sz w:val="36"/>
          <w:szCs w:val="36"/>
        </w:rPr>
        <w:t xml:space="preserve"> </w:t>
      </w:r>
    </w:p>
    <w:p w14:paraId="282B2742" w14:textId="77777777" w:rsidR="00A36772" w:rsidRPr="00CB1D84" w:rsidRDefault="00A36772" w:rsidP="00A36772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2100BD67" w14:textId="299A6DCF" w:rsidR="007A0219" w:rsidRDefault="0034696A" w:rsidP="002B4AEA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  <w:r w:rsidRPr="0034696A">
        <w:rPr>
          <w:rFonts w:ascii="Corbel" w:eastAsia="Aptos" w:hAnsi="Corbel" w:cs="Times New Roman"/>
          <w:b/>
          <w:bCs/>
          <w:sz w:val="22"/>
          <w:szCs w:val="22"/>
        </w:rPr>
        <w:t>Pierwsze półrocze 2026 r. potwierdza utrzymującą się bardzo niską skalę pożarów samochodów całkowicie elektrycznych w Polsce. W analizowanym okresie odnotowano 26 pożarów pojazdów BEV, co stanowiło zaledwie 0,52% wszystkich pożarów pojazdów. Co istotne, mimo dalszego dynamicznego wzrostu liczby samochodów elektrycznych na polskich drogach, wskaźnik liczby pożarów przypadających na 1000 zarejestrowanych pojazdów spadł rok do roku z 0,23</w:t>
      </w:r>
      <w:r w:rsidR="0064328B">
        <w:rPr>
          <w:rFonts w:ascii="Corbel" w:eastAsia="Aptos" w:hAnsi="Corbel" w:cs="Times New Roman"/>
          <w:b/>
          <w:bCs/>
          <w:sz w:val="22"/>
          <w:szCs w:val="22"/>
        </w:rPr>
        <w:t>0</w:t>
      </w:r>
      <w:r w:rsidRPr="0034696A">
        <w:rPr>
          <w:rFonts w:ascii="Corbel" w:eastAsia="Aptos" w:hAnsi="Corbel" w:cs="Times New Roman"/>
          <w:b/>
          <w:bCs/>
          <w:sz w:val="22"/>
          <w:szCs w:val="22"/>
        </w:rPr>
        <w:t xml:space="preserve"> do 0,168 i był niższy </w:t>
      </w:r>
      <w:r w:rsidR="000152FD">
        <w:rPr>
          <w:rFonts w:ascii="Corbel" w:eastAsia="Aptos" w:hAnsi="Corbel" w:cs="Times New Roman"/>
          <w:b/>
          <w:bCs/>
          <w:sz w:val="22"/>
          <w:szCs w:val="22"/>
        </w:rPr>
        <w:t>w porównaniu do</w:t>
      </w:r>
      <w:r w:rsidRPr="0034696A">
        <w:rPr>
          <w:rFonts w:ascii="Corbel" w:eastAsia="Aptos" w:hAnsi="Corbel" w:cs="Times New Roman"/>
          <w:b/>
          <w:bCs/>
          <w:sz w:val="22"/>
          <w:szCs w:val="22"/>
        </w:rPr>
        <w:t xml:space="preserve"> pojazdów spalinowych (0,201).</w:t>
      </w:r>
    </w:p>
    <w:p w14:paraId="0FD75EFD" w14:textId="77777777" w:rsidR="0034696A" w:rsidRDefault="0034696A" w:rsidP="002B4AEA">
      <w:pPr>
        <w:spacing w:line="276" w:lineRule="auto"/>
        <w:jc w:val="both"/>
        <w:rPr>
          <w:rFonts w:ascii="Corbel" w:eastAsia="Aptos" w:hAnsi="Corbel" w:cs="Times New Roman"/>
          <w:sz w:val="22"/>
          <w:szCs w:val="22"/>
        </w:rPr>
      </w:pPr>
    </w:p>
    <w:p w14:paraId="75DF3E46" w14:textId="60F62ACF" w:rsidR="0034696A" w:rsidRPr="0034696A" w:rsidRDefault="005C0EE5" w:rsidP="00433343">
      <w:pPr>
        <w:jc w:val="both"/>
        <w:rPr>
          <w:rFonts w:ascii="Corbel" w:eastAsia="Aptos" w:hAnsi="Corbel" w:cs="Times New Roman"/>
          <w:sz w:val="22"/>
          <w:szCs w:val="22"/>
        </w:rPr>
      </w:pPr>
      <w:r w:rsidRPr="005C0EE5">
        <w:rPr>
          <w:rFonts w:ascii="Corbel" w:eastAsia="Aptos" w:hAnsi="Corbel" w:cs="Times New Roman"/>
          <w:sz w:val="22"/>
          <w:szCs w:val="22"/>
        </w:rPr>
        <w:t xml:space="preserve">Z danych Państwowej Straży Pożarnej, przeanalizowanych przez F5A New </w:t>
      </w:r>
      <w:proofErr w:type="spellStart"/>
      <w:r w:rsidRPr="005C0EE5">
        <w:rPr>
          <w:rFonts w:ascii="Corbel" w:eastAsia="Aptos" w:hAnsi="Corbel" w:cs="Times New Roman"/>
          <w:sz w:val="22"/>
          <w:szCs w:val="22"/>
        </w:rPr>
        <w:t>Mobility</w:t>
      </w:r>
      <w:proofErr w:type="spellEnd"/>
      <w:r w:rsidRPr="005C0EE5">
        <w:rPr>
          <w:rFonts w:ascii="Corbel" w:eastAsia="Aptos" w:hAnsi="Corbel" w:cs="Times New Roman"/>
          <w:sz w:val="22"/>
          <w:szCs w:val="22"/>
        </w:rPr>
        <w:t xml:space="preserve"> </w:t>
      </w:r>
      <w:proofErr w:type="spellStart"/>
      <w:r w:rsidRPr="005C0EE5">
        <w:rPr>
          <w:rFonts w:ascii="Corbel" w:eastAsia="Aptos" w:hAnsi="Corbel" w:cs="Times New Roman"/>
          <w:sz w:val="22"/>
          <w:szCs w:val="22"/>
        </w:rPr>
        <w:t>Research</w:t>
      </w:r>
      <w:proofErr w:type="spellEnd"/>
      <w:r w:rsidRPr="005C0EE5">
        <w:rPr>
          <w:rFonts w:ascii="Corbel" w:eastAsia="Aptos" w:hAnsi="Corbel" w:cs="Times New Roman"/>
          <w:sz w:val="22"/>
          <w:szCs w:val="22"/>
        </w:rPr>
        <w:t xml:space="preserve"> &amp; Consulting w ramach „Raportu Bezpieczeństwa Pożarowego EV”, wynika, </w:t>
      </w:r>
      <w:r w:rsidR="0034696A" w:rsidRPr="0034696A">
        <w:rPr>
          <w:rFonts w:ascii="Corbel" w:eastAsia="Aptos" w:hAnsi="Corbel" w:cs="Times New Roman"/>
          <w:sz w:val="22"/>
          <w:szCs w:val="22"/>
        </w:rPr>
        <w:t>że trend obserwowany w poprzednich latach utrzymuje się również w pierwszej połowie 2026 r. Liczba pożarów pojazdów elektrycznych w pierwszym półroczu 202</w:t>
      </w:r>
      <w:r w:rsidR="000152FD">
        <w:rPr>
          <w:rFonts w:ascii="Corbel" w:eastAsia="Aptos" w:hAnsi="Corbel" w:cs="Times New Roman"/>
          <w:sz w:val="22"/>
          <w:szCs w:val="22"/>
        </w:rPr>
        <w:t>6</w:t>
      </w:r>
      <w:r w:rsidR="0034696A" w:rsidRPr="0034696A">
        <w:rPr>
          <w:rFonts w:ascii="Corbel" w:eastAsia="Aptos" w:hAnsi="Corbel" w:cs="Times New Roman"/>
          <w:sz w:val="22"/>
          <w:szCs w:val="22"/>
        </w:rPr>
        <w:t xml:space="preserve"> r. </w:t>
      </w:r>
      <w:r w:rsidR="000152FD">
        <w:rPr>
          <w:rFonts w:ascii="Corbel" w:eastAsia="Aptos" w:hAnsi="Corbel" w:cs="Times New Roman"/>
          <w:sz w:val="22"/>
          <w:szCs w:val="22"/>
        </w:rPr>
        <w:t>wyniosła zaledwie</w:t>
      </w:r>
      <w:r w:rsidR="000152FD" w:rsidRPr="0034696A">
        <w:rPr>
          <w:rFonts w:ascii="Corbel" w:eastAsia="Aptos" w:hAnsi="Corbel" w:cs="Times New Roman"/>
          <w:sz w:val="22"/>
          <w:szCs w:val="22"/>
        </w:rPr>
        <w:t xml:space="preserve"> </w:t>
      </w:r>
      <w:r w:rsidR="0034696A" w:rsidRPr="0034696A">
        <w:rPr>
          <w:rFonts w:ascii="Corbel" w:eastAsia="Aptos" w:hAnsi="Corbel" w:cs="Times New Roman"/>
          <w:sz w:val="22"/>
          <w:szCs w:val="22"/>
        </w:rPr>
        <w:t>26</w:t>
      </w:r>
      <w:r w:rsidR="0064328B">
        <w:rPr>
          <w:rFonts w:ascii="Corbel" w:eastAsia="Aptos" w:hAnsi="Corbel" w:cs="Times New Roman"/>
          <w:sz w:val="22"/>
          <w:szCs w:val="22"/>
        </w:rPr>
        <w:t>,</w:t>
      </w:r>
      <w:r w:rsidR="0034696A" w:rsidRPr="0034696A">
        <w:rPr>
          <w:rFonts w:ascii="Corbel" w:eastAsia="Aptos" w:hAnsi="Corbel" w:cs="Times New Roman"/>
          <w:sz w:val="22"/>
          <w:szCs w:val="22"/>
        </w:rPr>
        <w:t xml:space="preserve"> podczas gdy park samochodów całkowicie elektrycznych zwiększył się w tym czasie o blisko 57%, z 98 813 do 154 947 pojazdów.</w:t>
      </w:r>
    </w:p>
    <w:p w14:paraId="1064FACB" w14:textId="77777777" w:rsidR="0034696A" w:rsidRPr="0034696A" w:rsidRDefault="0034696A" w:rsidP="00433343">
      <w:pPr>
        <w:jc w:val="both"/>
        <w:rPr>
          <w:rFonts w:ascii="Corbel" w:eastAsia="Aptos" w:hAnsi="Corbel" w:cs="Times New Roman"/>
          <w:sz w:val="22"/>
          <w:szCs w:val="22"/>
        </w:rPr>
      </w:pPr>
    </w:p>
    <w:p w14:paraId="0CF5FEDD" w14:textId="472E4C72" w:rsidR="0034696A" w:rsidRPr="0034696A" w:rsidRDefault="0034696A" w:rsidP="00433343">
      <w:pPr>
        <w:jc w:val="both"/>
        <w:rPr>
          <w:rFonts w:ascii="Corbel" w:eastAsia="Aptos" w:hAnsi="Corbel" w:cs="Times New Roman"/>
          <w:sz w:val="22"/>
          <w:szCs w:val="22"/>
        </w:rPr>
      </w:pPr>
      <w:r w:rsidRPr="0034696A">
        <w:rPr>
          <w:rFonts w:ascii="Corbel" w:eastAsia="Aptos" w:hAnsi="Corbel" w:cs="Times New Roman"/>
          <w:sz w:val="22"/>
          <w:szCs w:val="22"/>
        </w:rPr>
        <w:t xml:space="preserve">W pierwszym półroczu 2026 r. w Polsce odnotowano 4935 pożarów pojazdów spalinowych, 61 pożarów pojazdów hybrydowych, 26 pożarów pojazdów całkowicie elektrycznych oraz 2 pożary pojazdów wodorowych. W ujęciu skumulowanym od 2020 r. liczba pożarów pojazdów całkowicie elektrycznych wynosi 132, wobec 60 647 pożarów pojazdów spalinowych, 335 pożarów pojazdów hybrydowych oraz </w:t>
      </w:r>
      <w:r w:rsidR="00C5370C">
        <w:rPr>
          <w:rFonts w:ascii="Corbel" w:eastAsia="Aptos" w:hAnsi="Corbel" w:cs="Times New Roman"/>
          <w:sz w:val="22"/>
          <w:szCs w:val="22"/>
        </w:rPr>
        <w:t>1</w:t>
      </w:r>
      <w:r w:rsidRPr="0034696A">
        <w:rPr>
          <w:rFonts w:ascii="Corbel" w:eastAsia="Aptos" w:hAnsi="Corbel" w:cs="Times New Roman"/>
          <w:sz w:val="22"/>
          <w:szCs w:val="22"/>
        </w:rPr>
        <w:t xml:space="preserve"> pożar</w:t>
      </w:r>
      <w:r w:rsidR="00C5370C">
        <w:rPr>
          <w:rFonts w:ascii="Corbel" w:eastAsia="Aptos" w:hAnsi="Corbel" w:cs="Times New Roman"/>
          <w:sz w:val="22"/>
          <w:szCs w:val="22"/>
        </w:rPr>
        <w:t>u,</w:t>
      </w:r>
      <w:r w:rsidRPr="0034696A">
        <w:rPr>
          <w:rFonts w:ascii="Corbel" w:eastAsia="Aptos" w:hAnsi="Corbel" w:cs="Times New Roman"/>
          <w:sz w:val="22"/>
          <w:szCs w:val="22"/>
        </w:rPr>
        <w:t xml:space="preserve"> </w:t>
      </w:r>
      <w:r w:rsidR="00C5370C">
        <w:rPr>
          <w:rFonts w:ascii="Corbel" w:eastAsia="Aptos" w:hAnsi="Corbel" w:cs="Times New Roman"/>
          <w:sz w:val="22"/>
          <w:szCs w:val="22"/>
        </w:rPr>
        <w:t xml:space="preserve">w którym spłonęły 2 </w:t>
      </w:r>
      <w:r w:rsidRPr="0034696A">
        <w:rPr>
          <w:rFonts w:ascii="Corbel" w:eastAsia="Aptos" w:hAnsi="Corbel" w:cs="Times New Roman"/>
          <w:sz w:val="22"/>
          <w:szCs w:val="22"/>
        </w:rPr>
        <w:t>pojazd</w:t>
      </w:r>
      <w:r w:rsidR="00C5370C">
        <w:rPr>
          <w:rFonts w:ascii="Corbel" w:eastAsia="Aptos" w:hAnsi="Corbel" w:cs="Times New Roman"/>
          <w:sz w:val="22"/>
          <w:szCs w:val="22"/>
        </w:rPr>
        <w:t>y</w:t>
      </w:r>
      <w:r w:rsidRPr="0034696A">
        <w:rPr>
          <w:rFonts w:ascii="Corbel" w:eastAsia="Aptos" w:hAnsi="Corbel" w:cs="Times New Roman"/>
          <w:sz w:val="22"/>
          <w:szCs w:val="22"/>
        </w:rPr>
        <w:t xml:space="preserve"> wodorow</w:t>
      </w:r>
      <w:r w:rsidR="00C5370C">
        <w:rPr>
          <w:rFonts w:ascii="Corbel" w:eastAsia="Aptos" w:hAnsi="Corbel" w:cs="Times New Roman"/>
          <w:sz w:val="22"/>
          <w:szCs w:val="22"/>
        </w:rPr>
        <w:t>e</w:t>
      </w:r>
      <w:r w:rsidRPr="0034696A">
        <w:rPr>
          <w:rFonts w:ascii="Corbel" w:eastAsia="Aptos" w:hAnsi="Corbel" w:cs="Times New Roman"/>
          <w:sz w:val="22"/>
          <w:szCs w:val="22"/>
        </w:rPr>
        <w:t>.</w:t>
      </w:r>
    </w:p>
    <w:p w14:paraId="543F11D7" w14:textId="77777777" w:rsidR="0034696A" w:rsidRPr="0034696A" w:rsidRDefault="0034696A" w:rsidP="00433343">
      <w:pPr>
        <w:jc w:val="both"/>
        <w:rPr>
          <w:rFonts w:ascii="Corbel" w:eastAsia="Aptos" w:hAnsi="Corbel" w:cs="Times New Roman"/>
          <w:sz w:val="22"/>
          <w:szCs w:val="22"/>
        </w:rPr>
      </w:pPr>
    </w:p>
    <w:p w14:paraId="44ACB094" w14:textId="2BB4CA83" w:rsidR="003D2507" w:rsidRDefault="0034696A" w:rsidP="00433343">
      <w:pPr>
        <w:jc w:val="both"/>
        <w:rPr>
          <w:rFonts w:ascii="Corbel" w:eastAsia="Aptos" w:hAnsi="Corbel" w:cs="Times New Roman"/>
          <w:sz w:val="22"/>
          <w:szCs w:val="22"/>
        </w:rPr>
      </w:pPr>
      <w:r w:rsidRPr="0034696A">
        <w:rPr>
          <w:rFonts w:ascii="Corbel" w:eastAsia="Aptos" w:hAnsi="Corbel" w:cs="Times New Roman"/>
          <w:sz w:val="22"/>
          <w:szCs w:val="22"/>
        </w:rPr>
        <w:t xml:space="preserve">Wskaźnik liczby pożarów na 1000 zarejestrowanych pojazdów dla BEV wyniósł 0,168 wobec 0,201 dla pojazdów spalinowych. Najniższy wskaźnik odnotowano dla pojazdów hybrydowych (0,038). Z kolei dla pojazdów wodorowych wskaźnik osiągnął wartość 3,195, co wynika z wyjątkowo niewielkiej liczby takich pojazdów eksploatowanych w Polsce – obecnie jest ich zaledwie około </w:t>
      </w:r>
      <w:r w:rsidR="00E3134B" w:rsidRPr="0034696A">
        <w:rPr>
          <w:rFonts w:ascii="Corbel" w:eastAsia="Aptos" w:hAnsi="Corbel" w:cs="Times New Roman"/>
          <w:sz w:val="22"/>
          <w:szCs w:val="22"/>
        </w:rPr>
        <w:t>6</w:t>
      </w:r>
      <w:r w:rsidR="00E3134B">
        <w:rPr>
          <w:rFonts w:ascii="Corbel" w:eastAsia="Aptos" w:hAnsi="Corbel" w:cs="Times New Roman"/>
          <w:sz w:val="22"/>
          <w:szCs w:val="22"/>
        </w:rPr>
        <w:t>30</w:t>
      </w:r>
      <w:r w:rsidRPr="0034696A">
        <w:rPr>
          <w:rFonts w:ascii="Corbel" w:eastAsia="Aptos" w:hAnsi="Corbel" w:cs="Times New Roman"/>
          <w:sz w:val="22"/>
          <w:szCs w:val="22"/>
        </w:rPr>
        <w:t>. W praktyce oznacza to, że nawet pojedyncze zdarzenia mają bardzo duży wpływ na wartość wskaźnika i nie powinny być interpretowane jako odzwierciedlenie rzeczywistego poziomu ryzyka.</w:t>
      </w:r>
    </w:p>
    <w:p w14:paraId="7B254A63" w14:textId="77777777" w:rsidR="0034696A" w:rsidRDefault="0034696A" w:rsidP="0034696A">
      <w:pPr>
        <w:rPr>
          <w:rFonts w:ascii="Corbel" w:eastAsia="Aptos" w:hAnsi="Corbel" w:cs="Times New Roman"/>
          <w:sz w:val="22"/>
          <w:szCs w:val="22"/>
        </w:rPr>
      </w:pPr>
    </w:p>
    <w:p w14:paraId="292A6983" w14:textId="2B473495" w:rsidR="00C23612" w:rsidRPr="007C61FB" w:rsidRDefault="00700880" w:rsidP="0081446E">
      <w:pPr>
        <w:jc w:val="both"/>
        <w:rPr>
          <w:rFonts w:ascii="Corbel" w:eastAsia="Aptos" w:hAnsi="Corbel" w:cs="Times New Roman"/>
          <w:i/>
          <w:iCs/>
          <w:sz w:val="22"/>
          <w:szCs w:val="22"/>
        </w:rPr>
      </w:pPr>
      <w:r>
        <w:rPr>
          <w:rFonts w:ascii="Corbel" w:eastAsia="Aptos" w:hAnsi="Corbel" w:cs="Times New Roman"/>
          <w:i/>
          <w:iCs/>
          <w:sz w:val="22"/>
          <w:szCs w:val="22"/>
        </w:rPr>
        <w:t>„</w:t>
      </w:r>
      <w:r w:rsidR="0064328B" w:rsidRPr="0064328B">
        <w:rPr>
          <w:rFonts w:ascii="Corbel" w:eastAsia="Aptos" w:hAnsi="Corbel" w:cs="Times New Roman"/>
          <w:i/>
          <w:iCs/>
          <w:sz w:val="22"/>
          <w:szCs w:val="22"/>
        </w:rPr>
        <w:t xml:space="preserve">Po siedmiu kolejnych edycjach raportu dysponujemy już </w:t>
      </w:r>
      <w:r w:rsidR="00E3134B">
        <w:rPr>
          <w:rFonts w:ascii="Corbel" w:eastAsia="Aptos" w:hAnsi="Corbel" w:cs="Times New Roman"/>
          <w:i/>
          <w:iCs/>
          <w:sz w:val="22"/>
          <w:szCs w:val="22"/>
        </w:rPr>
        <w:t>zbiorem</w:t>
      </w:r>
      <w:r w:rsidR="00E3134B" w:rsidRPr="0064328B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64328B" w:rsidRPr="0064328B">
        <w:rPr>
          <w:rFonts w:ascii="Corbel" w:eastAsia="Aptos" w:hAnsi="Corbel" w:cs="Times New Roman"/>
          <w:i/>
          <w:iCs/>
          <w:sz w:val="22"/>
          <w:szCs w:val="22"/>
        </w:rPr>
        <w:t xml:space="preserve">danych, </w:t>
      </w:r>
      <w:r w:rsidR="00E3134B" w:rsidRPr="0064328B">
        <w:rPr>
          <w:rFonts w:ascii="Corbel" w:eastAsia="Aptos" w:hAnsi="Corbel" w:cs="Times New Roman"/>
          <w:i/>
          <w:iCs/>
          <w:sz w:val="22"/>
          <w:szCs w:val="22"/>
        </w:rPr>
        <w:t>któr</w:t>
      </w:r>
      <w:r w:rsidR="00E3134B">
        <w:rPr>
          <w:rFonts w:ascii="Corbel" w:eastAsia="Aptos" w:hAnsi="Corbel" w:cs="Times New Roman"/>
          <w:i/>
          <w:iCs/>
          <w:sz w:val="22"/>
          <w:szCs w:val="22"/>
        </w:rPr>
        <w:t>y</w:t>
      </w:r>
      <w:r w:rsidR="00E3134B" w:rsidRPr="0064328B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64328B" w:rsidRPr="0064328B">
        <w:rPr>
          <w:rFonts w:ascii="Corbel" w:eastAsia="Aptos" w:hAnsi="Corbel" w:cs="Times New Roman"/>
          <w:i/>
          <w:iCs/>
          <w:sz w:val="22"/>
          <w:szCs w:val="22"/>
        </w:rPr>
        <w:t xml:space="preserve">pozwala wyciągać znacznie szersze wnioski niż jeszcze rok czy dwa lata temu. </w:t>
      </w:r>
      <w:r w:rsidR="00E3134B">
        <w:rPr>
          <w:rFonts w:ascii="Corbel" w:eastAsia="Aptos" w:hAnsi="Corbel" w:cs="Times New Roman"/>
          <w:i/>
          <w:iCs/>
          <w:sz w:val="22"/>
          <w:szCs w:val="22"/>
        </w:rPr>
        <w:t>Gdy</w:t>
      </w:r>
      <w:r w:rsidR="00E3134B" w:rsidRPr="0064328B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64328B" w:rsidRPr="0064328B">
        <w:rPr>
          <w:rFonts w:ascii="Corbel" w:eastAsia="Aptos" w:hAnsi="Corbel" w:cs="Times New Roman"/>
          <w:i/>
          <w:iCs/>
          <w:sz w:val="22"/>
          <w:szCs w:val="22"/>
        </w:rPr>
        <w:t xml:space="preserve">samochody elektryczne zaczynały zdobywać popularność, często pojawiały się obawy, że wraz ze wzrostem ich liczby będziemy obserwować lawinowy wzrost pożarów. Dane pokazują dokładnie </w:t>
      </w:r>
      <w:r w:rsidR="00E3134B" w:rsidRPr="0064328B">
        <w:rPr>
          <w:rFonts w:ascii="Corbel" w:eastAsia="Aptos" w:hAnsi="Corbel" w:cs="Times New Roman"/>
          <w:i/>
          <w:iCs/>
          <w:sz w:val="22"/>
          <w:szCs w:val="22"/>
        </w:rPr>
        <w:t>odwrot</w:t>
      </w:r>
      <w:r w:rsidR="00E3134B">
        <w:rPr>
          <w:rFonts w:ascii="Corbel" w:eastAsia="Aptos" w:hAnsi="Corbel" w:cs="Times New Roman"/>
          <w:i/>
          <w:iCs/>
          <w:sz w:val="22"/>
          <w:szCs w:val="22"/>
        </w:rPr>
        <w:t>ny trend</w:t>
      </w:r>
      <w:r w:rsidR="0064328B" w:rsidRPr="0064328B">
        <w:rPr>
          <w:rFonts w:ascii="Corbel" w:eastAsia="Aptos" w:hAnsi="Corbel" w:cs="Times New Roman"/>
          <w:i/>
          <w:iCs/>
          <w:sz w:val="22"/>
          <w:szCs w:val="22"/>
        </w:rPr>
        <w:t>. W ciągu ostatnich 12 miesięcy park samochodów całkowicie elektrycznych w Polsce zwiększył się o blisko 57% – z niespełna 99 tys. do prawie 155 tys. pojazdów. W tym samym czasie liczba pożarów wzrosła jedynie z 23 do 26, a wskaźnik pożarów przypadających na 1000 zarejestrowanych pojazdów spadł z 0,23 do 0,1</w:t>
      </w:r>
      <w:r w:rsidR="0064328B">
        <w:rPr>
          <w:rFonts w:ascii="Corbel" w:eastAsia="Aptos" w:hAnsi="Corbel" w:cs="Times New Roman"/>
          <w:i/>
          <w:iCs/>
          <w:sz w:val="22"/>
          <w:szCs w:val="22"/>
        </w:rPr>
        <w:t>7</w:t>
      </w:r>
      <w:r w:rsidR="0064328B" w:rsidRPr="0064328B">
        <w:rPr>
          <w:rFonts w:ascii="Corbel" w:eastAsia="Aptos" w:hAnsi="Corbel" w:cs="Times New Roman"/>
          <w:i/>
          <w:iCs/>
          <w:sz w:val="22"/>
          <w:szCs w:val="22"/>
        </w:rPr>
        <w:t xml:space="preserve"> i</w:t>
      </w:r>
      <w:r w:rsidR="0064328B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64328B" w:rsidRPr="0064328B">
        <w:rPr>
          <w:rFonts w:ascii="Corbel" w:eastAsia="Aptos" w:hAnsi="Corbel" w:cs="Times New Roman"/>
          <w:i/>
          <w:iCs/>
          <w:sz w:val="22"/>
          <w:szCs w:val="22"/>
        </w:rPr>
        <w:t>jest niższy niż dla samochodów spalinowych. To najlepszy dowód, że bezpieczeństwo nowych technologii należy oceniać na podstawie długoterminowych danych, a nie pojedynczych, medialnych zdarzeń</w:t>
      </w:r>
      <w:r>
        <w:rPr>
          <w:rFonts w:ascii="Corbel" w:eastAsia="Aptos" w:hAnsi="Corbel" w:cs="Times New Roman"/>
          <w:i/>
          <w:iCs/>
          <w:sz w:val="22"/>
          <w:szCs w:val="22"/>
        </w:rPr>
        <w:t>”</w:t>
      </w:r>
      <w:r w:rsidR="00C52441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Pr="00700880">
        <w:rPr>
          <w:rFonts w:ascii="Corbel" w:eastAsia="Aptos" w:hAnsi="Corbel" w:cs="Times New Roman"/>
          <w:sz w:val="22"/>
          <w:szCs w:val="22"/>
        </w:rPr>
        <w:t>–</w:t>
      </w:r>
      <w:r w:rsidR="00185C4D" w:rsidRPr="00700880">
        <w:rPr>
          <w:rFonts w:ascii="Corbel" w:eastAsia="Aptos" w:hAnsi="Corbel" w:cs="Times New Roman"/>
          <w:sz w:val="22"/>
          <w:szCs w:val="22"/>
        </w:rPr>
        <w:t xml:space="preserve"> </w:t>
      </w:r>
      <w:r w:rsidR="00C23612" w:rsidRPr="00700880">
        <w:rPr>
          <w:rFonts w:ascii="Corbel" w:eastAsia="Aptos" w:hAnsi="Corbel" w:cs="Times New Roman"/>
          <w:sz w:val="22"/>
          <w:szCs w:val="22"/>
        </w:rPr>
        <w:t xml:space="preserve">mówi </w:t>
      </w:r>
      <w:r w:rsidR="00C23612" w:rsidRPr="00700880">
        <w:rPr>
          <w:rFonts w:ascii="Corbel" w:eastAsia="Aptos" w:hAnsi="Corbel" w:cs="Times New Roman"/>
          <w:b/>
          <w:bCs/>
          <w:sz w:val="22"/>
          <w:szCs w:val="22"/>
        </w:rPr>
        <w:t xml:space="preserve">Albert Kania z F5A </w:t>
      </w:r>
      <w:bookmarkStart w:id="0" w:name="_Hlk213400915"/>
      <w:r w:rsidR="00C23612" w:rsidRPr="00700880">
        <w:rPr>
          <w:rFonts w:ascii="Corbel" w:eastAsia="Aptos" w:hAnsi="Corbel" w:cs="Times New Roman"/>
          <w:b/>
          <w:bCs/>
          <w:sz w:val="22"/>
          <w:szCs w:val="22"/>
        </w:rPr>
        <w:t xml:space="preserve">New </w:t>
      </w:r>
      <w:proofErr w:type="spellStart"/>
      <w:r w:rsidR="00C23612" w:rsidRPr="00700880">
        <w:rPr>
          <w:rFonts w:ascii="Corbel" w:eastAsia="Aptos" w:hAnsi="Corbel" w:cs="Times New Roman"/>
          <w:b/>
          <w:bCs/>
          <w:sz w:val="22"/>
          <w:szCs w:val="22"/>
        </w:rPr>
        <w:t>Mobility</w:t>
      </w:r>
      <w:proofErr w:type="spellEnd"/>
      <w:r w:rsidR="00C23612" w:rsidRPr="00700880">
        <w:rPr>
          <w:rFonts w:ascii="Corbel" w:eastAsia="Aptos" w:hAnsi="Corbel" w:cs="Times New Roman"/>
          <w:b/>
          <w:bCs/>
          <w:sz w:val="22"/>
          <w:szCs w:val="22"/>
        </w:rPr>
        <w:t xml:space="preserve"> </w:t>
      </w:r>
      <w:proofErr w:type="spellStart"/>
      <w:r w:rsidR="00C23612" w:rsidRPr="00700880">
        <w:rPr>
          <w:rFonts w:ascii="Corbel" w:eastAsia="Aptos" w:hAnsi="Corbel" w:cs="Times New Roman"/>
          <w:b/>
          <w:bCs/>
          <w:sz w:val="22"/>
          <w:szCs w:val="22"/>
        </w:rPr>
        <w:t>Research</w:t>
      </w:r>
      <w:proofErr w:type="spellEnd"/>
      <w:r w:rsidR="00C23612" w:rsidRPr="00700880">
        <w:rPr>
          <w:rFonts w:ascii="Corbel" w:eastAsia="Aptos" w:hAnsi="Corbel" w:cs="Times New Roman"/>
          <w:b/>
          <w:bCs/>
          <w:sz w:val="22"/>
          <w:szCs w:val="22"/>
        </w:rPr>
        <w:t xml:space="preserve"> &amp; Consulting</w:t>
      </w:r>
      <w:bookmarkEnd w:id="0"/>
      <w:r w:rsidRPr="00700880">
        <w:rPr>
          <w:rFonts w:ascii="Corbel" w:eastAsia="Aptos" w:hAnsi="Corbel" w:cs="Times New Roman"/>
          <w:b/>
          <w:bCs/>
          <w:sz w:val="22"/>
          <w:szCs w:val="22"/>
        </w:rPr>
        <w:t>.</w:t>
      </w:r>
    </w:p>
    <w:p w14:paraId="3B1096A7" w14:textId="40BD22B1" w:rsidR="00185C4D" w:rsidRDefault="00185C4D" w:rsidP="0081446E">
      <w:pPr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2E1BF07B" w14:textId="084E19AE" w:rsidR="0034696A" w:rsidRPr="0034696A" w:rsidRDefault="00C5370C" w:rsidP="0081446E">
      <w:pPr>
        <w:jc w:val="both"/>
        <w:rPr>
          <w:rFonts w:ascii="Corbel" w:eastAsia="Aptos" w:hAnsi="Corbel" w:cs="Times New Roman"/>
          <w:sz w:val="22"/>
          <w:szCs w:val="22"/>
        </w:rPr>
      </w:pPr>
      <w:r>
        <w:rPr>
          <w:rFonts w:ascii="Corbel" w:eastAsia="Aptos" w:hAnsi="Corbel" w:cs="Times New Roman"/>
          <w:sz w:val="22"/>
          <w:szCs w:val="22"/>
        </w:rPr>
        <w:t>O</w:t>
      </w:r>
      <w:r w:rsidR="0034696A" w:rsidRPr="0034696A">
        <w:rPr>
          <w:rFonts w:ascii="Corbel" w:eastAsia="Aptos" w:hAnsi="Corbel" w:cs="Times New Roman"/>
          <w:sz w:val="22"/>
          <w:szCs w:val="22"/>
        </w:rPr>
        <w:t xml:space="preserve">d 2020 r. </w:t>
      </w:r>
      <w:r>
        <w:rPr>
          <w:rFonts w:ascii="Corbel" w:eastAsia="Aptos" w:hAnsi="Corbel" w:cs="Times New Roman"/>
          <w:sz w:val="22"/>
          <w:szCs w:val="22"/>
        </w:rPr>
        <w:t xml:space="preserve">odnotowano </w:t>
      </w:r>
      <w:r w:rsidR="0034696A" w:rsidRPr="0034696A">
        <w:rPr>
          <w:rFonts w:ascii="Corbel" w:eastAsia="Aptos" w:hAnsi="Corbel" w:cs="Times New Roman"/>
          <w:sz w:val="22"/>
          <w:szCs w:val="22"/>
        </w:rPr>
        <w:t xml:space="preserve">dwa pożary </w:t>
      </w:r>
      <w:r>
        <w:rPr>
          <w:rFonts w:ascii="Corbel" w:eastAsia="Aptos" w:hAnsi="Corbel" w:cs="Times New Roman"/>
          <w:sz w:val="22"/>
          <w:szCs w:val="22"/>
        </w:rPr>
        <w:t xml:space="preserve">związane z </w:t>
      </w:r>
      <w:r w:rsidR="0034696A" w:rsidRPr="0034696A">
        <w:rPr>
          <w:rFonts w:ascii="Corbel" w:eastAsia="Aptos" w:hAnsi="Corbel" w:cs="Times New Roman"/>
          <w:sz w:val="22"/>
          <w:szCs w:val="22"/>
        </w:rPr>
        <w:t>pojazd</w:t>
      </w:r>
      <w:r>
        <w:rPr>
          <w:rFonts w:ascii="Corbel" w:eastAsia="Aptos" w:hAnsi="Corbel" w:cs="Times New Roman"/>
          <w:sz w:val="22"/>
          <w:szCs w:val="22"/>
        </w:rPr>
        <w:t>ami</w:t>
      </w:r>
      <w:r w:rsidR="0034696A" w:rsidRPr="0034696A">
        <w:rPr>
          <w:rFonts w:ascii="Corbel" w:eastAsia="Aptos" w:hAnsi="Corbel" w:cs="Times New Roman"/>
          <w:sz w:val="22"/>
          <w:szCs w:val="22"/>
        </w:rPr>
        <w:t xml:space="preserve"> wodorowy</w:t>
      </w:r>
      <w:r>
        <w:rPr>
          <w:rFonts w:ascii="Corbel" w:eastAsia="Aptos" w:hAnsi="Corbel" w:cs="Times New Roman"/>
          <w:sz w:val="22"/>
          <w:szCs w:val="22"/>
        </w:rPr>
        <w:t>mi.</w:t>
      </w:r>
      <w:r w:rsidR="0034696A" w:rsidRPr="0034696A">
        <w:rPr>
          <w:rFonts w:ascii="Corbel" w:eastAsia="Aptos" w:hAnsi="Corbel" w:cs="Times New Roman"/>
          <w:sz w:val="22"/>
          <w:szCs w:val="22"/>
        </w:rPr>
        <w:t xml:space="preserve"> </w:t>
      </w:r>
      <w:r>
        <w:rPr>
          <w:rFonts w:ascii="Corbel" w:eastAsia="Aptos" w:hAnsi="Corbel" w:cs="Times New Roman"/>
          <w:sz w:val="22"/>
          <w:szCs w:val="22"/>
        </w:rPr>
        <w:t xml:space="preserve">Pierwszy (w 2025 r.) dotyczył autobusu wodorowego, a drugi (w 2026 r.) dwóch aut osobowych. Zwłaszcza ten drugi </w:t>
      </w:r>
      <w:r w:rsidR="0034696A" w:rsidRPr="0034696A">
        <w:rPr>
          <w:rFonts w:ascii="Corbel" w:eastAsia="Aptos" w:hAnsi="Corbel" w:cs="Times New Roman"/>
          <w:sz w:val="22"/>
          <w:szCs w:val="22"/>
        </w:rPr>
        <w:t xml:space="preserve">wymaga </w:t>
      </w:r>
      <w:r w:rsidR="0034696A" w:rsidRPr="0034696A">
        <w:rPr>
          <w:rFonts w:ascii="Corbel" w:eastAsia="Aptos" w:hAnsi="Corbel" w:cs="Times New Roman"/>
          <w:sz w:val="22"/>
          <w:szCs w:val="22"/>
        </w:rPr>
        <w:lastRenderedPageBreak/>
        <w:t xml:space="preserve">właściwego kontekstu. Jak wynika z ustaleń Państwowej Straży Pożarnej, oba samochody zostały objęte pożarem w wyniku przeniesienia ognia z płonącego pojazdu zaparkowanego obok. Oznacza to, że ani instalacja wodorowa, ani sam napęd nie były źródłem pożaru. </w:t>
      </w:r>
    </w:p>
    <w:p w14:paraId="033382ED" w14:textId="77777777" w:rsidR="0034696A" w:rsidRPr="007C61FB" w:rsidRDefault="0034696A" w:rsidP="0081446E">
      <w:pPr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2E7336BE" w14:textId="57CDF79D" w:rsidR="003213A0" w:rsidRPr="00700880" w:rsidRDefault="00700880" w:rsidP="0081446E">
      <w:pPr>
        <w:jc w:val="both"/>
        <w:rPr>
          <w:rFonts w:ascii="Corbel" w:eastAsia="Aptos" w:hAnsi="Corbel" w:cs="Times New Roman"/>
          <w:color w:val="000000" w:themeColor="text1"/>
          <w:sz w:val="22"/>
          <w:szCs w:val="22"/>
        </w:rPr>
      </w:pPr>
      <w:r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„</w:t>
      </w:r>
      <w:r w:rsidR="00FA0035" w:rsidRPr="00700880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Drugi kwartał 2026 r., a właściwie całe pierwsze półrocze tego roku można opisać jako </w:t>
      </w:r>
      <w:r w:rsidR="00D67E41" w:rsidRPr="00700880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utrzymanie stabilnej</w:t>
      </w:r>
      <w:r w:rsidR="00FA0035" w:rsidRPr="00700880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 sytuacji związanej ze zdarzeniami związanymi z pojazdami o napędach elektrycznych i hybrydowych. Stabilizacja nie oznacza, że każde zdarzenie przebiega bez problemów i nie wymaga pełnej koncentracji przy działaniach. Zaznaczyć należy, że w II kwartale prowadziliśmy długotrwałe działania ratownicze przy pożarze pickupa BEV (trwające łącznie ponad 15 godzin) którego akumulator uległ uszkodzeniu i wymagał długotrwałego chłodzenia, a także przy pożarze hybrydy typu </w:t>
      </w:r>
      <w:r w:rsidR="00D67E41" w:rsidRPr="00700880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plug-in (trwając</w:t>
      </w:r>
      <w:r w:rsidR="00477C3C" w:rsidRPr="00700880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y</w:t>
      </w:r>
      <w:r w:rsidR="00D67E41" w:rsidRPr="00700880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 łącznie 19! godzin). Średni czas trwania działań związanych z pożarami BEV w II kwartale przekroczył 3 godziny (głównie za sprawą pożaru pickupa). Zeszłoroczny pożar pojazdu (a dokładniej autobusu) o napędzie wodorowym omawiałem już wcześniej (odbył się zupełnie bez echa, a działania nie były związane z układem wodorowym). Działania ratownicze przy pożarze dwóch samochodów osobowych o napędzie wodorowym, które miały miejsce 28 kwietnia w Dąbrowie Górniczej, trwały łącznie 4 godziny i 16 minut. Całkowitemu spaleniu uległ ICE oraz FCEV, kolejny FCEV oraz ICE uległy częściowemu spaleniu i mimo iż Państwowa Straż Pożarna nie jest instytucją określającą przyczyny powstania zdarzeń to w tym przypadku kierujący działaniem ratowniczym określił, że to prawdopodobnie ICE wywołał pożar, który przeniósł się na zaparkowane obok pojazdy</w:t>
      </w:r>
      <w:r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”</w:t>
      </w:r>
      <w:r w:rsidRPr="00700880">
        <w:rPr>
          <w:rFonts w:ascii="Corbel" w:eastAsia="Aptos" w:hAnsi="Corbel" w:cs="Times New Roman"/>
          <w:color w:val="000000" w:themeColor="text1"/>
          <w:sz w:val="22"/>
          <w:szCs w:val="22"/>
        </w:rPr>
        <w:t xml:space="preserve"> </w:t>
      </w:r>
      <w:r w:rsidR="00411662" w:rsidRPr="00700880">
        <w:rPr>
          <w:rFonts w:ascii="Corbel" w:eastAsia="Aptos" w:hAnsi="Corbel" w:cs="Times New Roman"/>
          <w:color w:val="000000" w:themeColor="text1"/>
          <w:sz w:val="22"/>
          <w:szCs w:val="22"/>
        </w:rPr>
        <w:t xml:space="preserve">– mówi </w:t>
      </w:r>
      <w:r w:rsidR="00411662" w:rsidRPr="00700880">
        <w:rPr>
          <w:rFonts w:ascii="Corbel" w:eastAsia="Aptos" w:hAnsi="Corbel" w:cs="Times New Roman"/>
          <w:b/>
          <w:bCs/>
          <w:color w:val="000000" w:themeColor="text1"/>
          <w:sz w:val="22"/>
          <w:szCs w:val="22"/>
        </w:rPr>
        <w:t>st. bryg. Tomasz Jonio z Komendy Głównej PSP</w:t>
      </w:r>
      <w:r w:rsidRPr="00700880">
        <w:rPr>
          <w:rFonts w:ascii="Corbel" w:eastAsia="Aptos" w:hAnsi="Corbel" w:cs="Times New Roman"/>
          <w:b/>
          <w:bCs/>
          <w:color w:val="000000" w:themeColor="text1"/>
          <w:sz w:val="22"/>
          <w:szCs w:val="22"/>
        </w:rPr>
        <w:t>.</w:t>
      </w:r>
    </w:p>
    <w:p w14:paraId="01710C90" w14:textId="77777777" w:rsidR="00185C4D" w:rsidRDefault="00185C4D" w:rsidP="0081446E">
      <w:pPr>
        <w:jc w:val="both"/>
        <w:rPr>
          <w:rFonts w:ascii="Corbel" w:eastAsia="Aptos" w:hAnsi="Corbel" w:cs="Times New Roman"/>
          <w:sz w:val="22"/>
          <w:szCs w:val="22"/>
        </w:rPr>
      </w:pPr>
    </w:p>
    <w:p w14:paraId="08224AEC" w14:textId="2EABE83A" w:rsidR="00185C4D" w:rsidRPr="00185C4D" w:rsidRDefault="00185C4D" w:rsidP="0081446E">
      <w:pPr>
        <w:jc w:val="both"/>
        <w:rPr>
          <w:rFonts w:ascii="Corbel" w:eastAsia="Aptos" w:hAnsi="Corbel" w:cs="Times New Roman"/>
          <w:sz w:val="22"/>
          <w:szCs w:val="22"/>
        </w:rPr>
      </w:pPr>
      <w:r w:rsidRPr="00185C4D">
        <w:rPr>
          <w:rFonts w:ascii="Corbel" w:eastAsia="Aptos" w:hAnsi="Corbel" w:cs="Times New Roman"/>
          <w:sz w:val="22"/>
          <w:szCs w:val="22"/>
        </w:rPr>
        <w:t xml:space="preserve">„Raport Bezpieczeństwa Pożarowego EV” to unikalne, pierwsze w Europie narzędzie zawierające dane na temat pożarów samochodów elektrycznych i spalinowych. Raport jest wydawany raz na kwartał przez </w:t>
      </w:r>
      <w:r w:rsidR="00411662">
        <w:rPr>
          <w:rFonts w:ascii="Corbel" w:eastAsia="Aptos" w:hAnsi="Corbel" w:cs="Times New Roman"/>
          <w:sz w:val="22"/>
          <w:szCs w:val="22"/>
        </w:rPr>
        <w:t xml:space="preserve">F5A </w:t>
      </w:r>
      <w:r w:rsidR="00411662" w:rsidRPr="00411662">
        <w:rPr>
          <w:rFonts w:ascii="Corbel" w:eastAsia="Aptos" w:hAnsi="Corbel" w:cs="Times New Roman"/>
          <w:sz w:val="22"/>
          <w:szCs w:val="22"/>
        </w:rPr>
        <w:t xml:space="preserve">New </w:t>
      </w:r>
      <w:proofErr w:type="spellStart"/>
      <w:r w:rsidR="00411662" w:rsidRPr="00411662">
        <w:rPr>
          <w:rFonts w:ascii="Corbel" w:eastAsia="Aptos" w:hAnsi="Corbel" w:cs="Times New Roman"/>
          <w:sz w:val="22"/>
          <w:szCs w:val="22"/>
        </w:rPr>
        <w:t>Mobility</w:t>
      </w:r>
      <w:proofErr w:type="spellEnd"/>
      <w:r w:rsidR="00411662" w:rsidRPr="00411662">
        <w:rPr>
          <w:rFonts w:ascii="Corbel" w:eastAsia="Aptos" w:hAnsi="Corbel" w:cs="Times New Roman"/>
          <w:sz w:val="22"/>
          <w:szCs w:val="22"/>
        </w:rPr>
        <w:t xml:space="preserve"> </w:t>
      </w:r>
      <w:proofErr w:type="spellStart"/>
      <w:r w:rsidR="00411662" w:rsidRPr="00411662">
        <w:rPr>
          <w:rFonts w:ascii="Corbel" w:eastAsia="Aptos" w:hAnsi="Corbel" w:cs="Times New Roman"/>
          <w:sz w:val="22"/>
          <w:szCs w:val="22"/>
        </w:rPr>
        <w:t>Research</w:t>
      </w:r>
      <w:proofErr w:type="spellEnd"/>
      <w:r w:rsidR="00411662" w:rsidRPr="00411662">
        <w:rPr>
          <w:rFonts w:ascii="Corbel" w:eastAsia="Aptos" w:hAnsi="Corbel" w:cs="Times New Roman"/>
          <w:sz w:val="22"/>
          <w:szCs w:val="22"/>
        </w:rPr>
        <w:t xml:space="preserve"> &amp; Consulting</w:t>
      </w:r>
      <w:r w:rsidR="00411662">
        <w:rPr>
          <w:rFonts w:ascii="Corbel" w:eastAsia="Aptos" w:hAnsi="Corbel" w:cs="Times New Roman"/>
          <w:sz w:val="22"/>
          <w:szCs w:val="22"/>
        </w:rPr>
        <w:t xml:space="preserve"> </w:t>
      </w:r>
      <w:r w:rsidR="00411662" w:rsidRPr="00185C4D">
        <w:rPr>
          <w:rFonts w:ascii="Corbel" w:eastAsia="Aptos" w:hAnsi="Corbel" w:cs="Times New Roman"/>
          <w:sz w:val="22"/>
          <w:szCs w:val="22"/>
        </w:rPr>
        <w:t>przy</w:t>
      </w:r>
      <w:r w:rsidRPr="00185C4D">
        <w:rPr>
          <w:rFonts w:ascii="Corbel" w:eastAsia="Aptos" w:hAnsi="Corbel" w:cs="Times New Roman"/>
          <w:sz w:val="22"/>
          <w:szCs w:val="22"/>
        </w:rPr>
        <w:t xml:space="preserve"> współpracy z Państwową Strażą Pożarną (PSP) oraz </w:t>
      </w:r>
      <w:r w:rsidR="00411662">
        <w:rPr>
          <w:rFonts w:ascii="Corbel" w:eastAsia="Aptos" w:hAnsi="Corbel" w:cs="Times New Roman"/>
          <w:sz w:val="22"/>
          <w:szCs w:val="22"/>
        </w:rPr>
        <w:t>Polskim Stowarzyszeniem Nowej Mobilności (PSNM)</w:t>
      </w:r>
      <w:r w:rsidRPr="00185C4D">
        <w:rPr>
          <w:rFonts w:ascii="Corbel" w:eastAsia="Aptos" w:hAnsi="Corbel" w:cs="Times New Roman"/>
          <w:sz w:val="22"/>
          <w:szCs w:val="22"/>
        </w:rPr>
        <w:t>. Jego celem jest dostarczenie rzetelnych, opartych na zweryfikowanych danych informacji na temat bezpieczeństwa pożarowego pojazdów elektrycznych (BEV)</w:t>
      </w:r>
      <w:r w:rsidR="00B37A93">
        <w:rPr>
          <w:rFonts w:ascii="Corbel" w:eastAsia="Aptos" w:hAnsi="Corbel" w:cs="Times New Roman"/>
          <w:sz w:val="22"/>
          <w:szCs w:val="22"/>
        </w:rPr>
        <w:t xml:space="preserve"> – osobowych i dostawczych.</w:t>
      </w:r>
      <w:r w:rsidRPr="00185C4D">
        <w:rPr>
          <w:rFonts w:ascii="Corbel" w:eastAsia="Aptos" w:hAnsi="Corbel" w:cs="Times New Roman"/>
          <w:sz w:val="22"/>
          <w:szCs w:val="22"/>
        </w:rPr>
        <w:t xml:space="preserve"> </w:t>
      </w:r>
      <w:r w:rsidR="009B3679" w:rsidRPr="009B3679">
        <w:rPr>
          <w:rFonts w:ascii="Corbel" w:eastAsia="Aptos" w:hAnsi="Corbel" w:cs="Times New Roman"/>
          <w:sz w:val="22"/>
          <w:szCs w:val="22"/>
        </w:rPr>
        <w:t xml:space="preserve">Analiza obejmuje wyłącznie pojazdy kategorii homologacyjnych M i N, co zapewnia porównywalność wyników z pojazdami wyposażonymi w napęd spalinowy. W okresie od stycznia do końca czerwca 2026 r. Państwowa Straż Pożarna odnotowała również 9 dodatkowych zdarzeń pożarowych z udziałem pojazdów elektrycznych, dotyczących przede wszystkim pojazdów innych kategorii homologacyjnych, </w:t>
      </w:r>
      <w:r w:rsidR="009B3679">
        <w:rPr>
          <w:rFonts w:ascii="Corbel" w:eastAsia="Aptos" w:hAnsi="Corbel" w:cs="Times New Roman"/>
          <w:sz w:val="22"/>
          <w:szCs w:val="22"/>
        </w:rPr>
        <w:t>głównie</w:t>
      </w:r>
      <w:r w:rsidR="009B3679" w:rsidRPr="009B3679">
        <w:rPr>
          <w:rFonts w:ascii="Corbel" w:eastAsia="Aptos" w:hAnsi="Corbel" w:cs="Times New Roman"/>
          <w:sz w:val="22"/>
          <w:szCs w:val="22"/>
        </w:rPr>
        <w:t xml:space="preserve"> kategorii L </w:t>
      </w:r>
      <w:r w:rsidR="009B3679">
        <w:rPr>
          <w:rFonts w:ascii="Corbel" w:eastAsia="Aptos" w:hAnsi="Corbel" w:cs="Times New Roman"/>
          <w:sz w:val="22"/>
          <w:szCs w:val="22"/>
        </w:rPr>
        <w:t>(</w:t>
      </w:r>
      <w:r w:rsidR="009B3679" w:rsidRPr="009B3679">
        <w:rPr>
          <w:rFonts w:ascii="Corbel" w:eastAsia="Aptos" w:hAnsi="Corbel" w:cs="Times New Roman"/>
          <w:sz w:val="22"/>
          <w:szCs w:val="22"/>
        </w:rPr>
        <w:t>pojazdów wolnobieżnych</w:t>
      </w:r>
      <w:r w:rsidR="009B3679">
        <w:rPr>
          <w:rFonts w:ascii="Corbel" w:eastAsia="Aptos" w:hAnsi="Corbel" w:cs="Times New Roman"/>
          <w:sz w:val="22"/>
          <w:szCs w:val="22"/>
        </w:rPr>
        <w:t>)</w:t>
      </w:r>
      <w:r w:rsidR="009B3679" w:rsidRPr="009B3679">
        <w:rPr>
          <w:rFonts w:ascii="Corbel" w:eastAsia="Aptos" w:hAnsi="Corbel" w:cs="Times New Roman"/>
          <w:sz w:val="22"/>
          <w:szCs w:val="22"/>
        </w:rPr>
        <w:t xml:space="preserve">. </w:t>
      </w:r>
    </w:p>
    <w:p w14:paraId="26A0ED5E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</w:p>
    <w:p w14:paraId="06BEFA61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  <w:r w:rsidRPr="00185C4D">
        <w:rPr>
          <w:rFonts w:ascii="Corbel" w:eastAsia="Aptos" w:hAnsi="Corbel" w:cs="Times New Roman"/>
          <w:sz w:val="22"/>
          <w:szCs w:val="22"/>
        </w:rPr>
        <w:t>--</w:t>
      </w:r>
    </w:p>
    <w:p w14:paraId="67981CCC" w14:textId="77777777" w:rsidR="00185C4D" w:rsidRPr="00185C4D" w:rsidRDefault="00185C4D" w:rsidP="00185C4D">
      <w:pPr>
        <w:rPr>
          <w:rFonts w:ascii="Corbel" w:eastAsia="Aptos" w:hAnsi="Corbel" w:cs="Times New Roman"/>
          <w:b/>
          <w:bCs/>
          <w:sz w:val="22"/>
          <w:szCs w:val="22"/>
        </w:rPr>
      </w:pPr>
    </w:p>
    <w:p w14:paraId="5195BBD7" w14:textId="77777777" w:rsidR="00185C4D" w:rsidRPr="00185C4D" w:rsidRDefault="00185C4D" w:rsidP="00185C4D">
      <w:pPr>
        <w:rPr>
          <w:rFonts w:ascii="Corbel" w:eastAsia="Aptos" w:hAnsi="Corbel" w:cs="Times New Roman"/>
          <w:b/>
          <w:bCs/>
          <w:sz w:val="22"/>
          <w:szCs w:val="22"/>
        </w:rPr>
      </w:pPr>
      <w:r w:rsidRPr="00185C4D">
        <w:rPr>
          <w:rFonts w:ascii="Corbel" w:eastAsia="Aptos" w:hAnsi="Corbel" w:cs="Times New Roman"/>
          <w:b/>
          <w:bCs/>
          <w:sz w:val="22"/>
          <w:szCs w:val="22"/>
        </w:rPr>
        <w:t>Kontakt</w:t>
      </w:r>
    </w:p>
    <w:p w14:paraId="7853F900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</w:p>
    <w:p w14:paraId="4884634B" w14:textId="77777777" w:rsidR="00185C4D" w:rsidRPr="0034533B" w:rsidRDefault="00185C4D" w:rsidP="00185C4D">
      <w:pPr>
        <w:rPr>
          <w:rFonts w:ascii="Corbel" w:eastAsia="Aptos" w:hAnsi="Corbel" w:cs="Times New Roman"/>
          <w:sz w:val="22"/>
          <w:szCs w:val="22"/>
        </w:rPr>
      </w:pPr>
      <w:r w:rsidRPr="0034533B">
        <w:rPr>
          <w:rFonts w:ascii="Corbel" w:eastAsia="Aptos" w:hAnsi="Corbel" w:cs="Times New Roman"/>
          <w:sz w:val="22"/>
          <w:szCs w:val="22"/>
        </w:rPr>
        <w:t>Maciej Gis, Dyrektor Biura Komunikacji PSNM</w:t>
      </w:r>
    </w:p>
    <w:p w14:paraId="19E21C79" w14:textId="77777777" w:rsidR="00185C4D" w:rsidRPr="0034533B" w:rsidRDefault="00185C4D" w:rsidP="00185C4D">
      <w:pPr>
        <w:rPr>
          <w:rFonts w:ascii="Corbel" w:eastAsia="Aptos" w:hAnsi="Corbel" w:cs="Times New Roman"/>
          <w:sz w:val="22"/>
          <w:szCs w:val="22"/>
          <w:lang w:val="pt-BR"/>
        </w:rPr>
      </w:pPr>
      <w:r w:rsidRPr="0034533B">
        <w:rPr>
          <w:rFonts w:ascii="Corbel" w:eastAsia="Aptos" w:hAnsi="Corbel" w:cs="Times New Roman"/>
          <w:sz w:val="22"/>
          <w:szCs w:val="22"/>
          <w:lang w:val="pt-BR"/>
        </w:rPr>
        <w:t xml:space="preserve">e-mail: </w:t>
      </w:r>
      <w:hyperlink r:id="rId7" w:history="1">
        <w:r w:rsidRPr="0034533B">
          <w:rPr>
            <w:rStyle w:val="Hipercze"/>
            <w:rFonts w:ascii="Corbel" w:eastAsia="Aptos" w:hAnsi="Corbel" w:cs="Times New Roman"/>
            <w:color w:val="auto"/>
            <w:sz w:val="22"/>
            <w:szCs w:val="22"/>
            <w:lang w:val="pt-BR"/>
          </w:rPr>
          <w:t>maciej.gis@psnm.org</w:t>
        </w:r>
      </w:hyperlink>
      <w:r w:rsidRPr="0034533B">
        <w:rPr>
          <w:rFonts w:ascii="Corbel" w:eastAsia="Aptos" w:hAnsi="Corbel" w:cs="Times New Roman"/>
          <w:sz w:val="22"/>
          <w:szCs w:val="22"/>
          <w:lang w:val="pt-BR"/>
        </w:rPr>
        <w:t>; tel.: (+48) 606 740 357</w:t>
      </w:r>
    </w:p>
    <w:p w14:paraId="5B1E97E3" w14:textId="77777777" w:rsidR="00C23612" w:rsidRPr="006A0417" w:rsidRDefault="00C23612" w:rsidP="00C23612">
      <w:pPr>
        <w:rPr>
          <w:rFonts w:ascii="Corbel" w:eastAsia="Aptos" w:hAnsi="Corbel" w:cs="Times New Roman"/>
          <w:sz w:val="22"/>
          <w:szCs w:val="22"/>
          <w:lang w:val="pt-BR"/>
        </w:rPr>
      </w:pPr>
    </w:p>
    <w:p w14:paraId="7FAD1F08" w14:textId="2044F00F" w:rsidR="00595541" w:rsidRPr="006A0417" w:rsidRDefault="00595541" w:rsidP="00780AF1">
      <w:pPr>
        <w:rPr>
          <w:rFonts w:ascii="Corbel" w:eastAsia="Aptos" w:hAnsi="Corbel" w:cs="Times New Roman"/>
          <w:b/>
          <w:bCs/>
          <w:sz w:val="36"/>
          <w:szCs w:val="36"/>
          <w:lang w:val="pt-BR"/>
        </w:rPr>
      </w:pPr>
    </w:p>
    <w:sectPr w:rsidR="00595541" w:rsidRPr="006A0417" w:rsidSect="003F2BCF">
      <w:headerReference w:type="default" r:id="rId8"/>
      <w:footerReference w:type="default" r:id="rId9"/>
      <w:pgSz w:w="11906" w:h="16838"/>
      <w:pgMar w:top="20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61149F" w14:textId="77777777" w:rsidR="00D9269B" w:rsidRDefault="00D9269B" w:rsidP="003F2BCF">
      <w:r>
        <w:separator/>
      </w:r>
    </w:p>
  </w:endnote>
  <w:endnote w:type="continuationSeparator" w:id="0">
    <w:p w14:paraId="2DF3CBB5" w14:textId="77777777" w:rsidR="00D9269B" w:rsidRDefault="00D9269B" w:rsidP="003F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B1DA89" w14:textId="413DBABC" w:rsidR="003F2BCF" w:rsidRDefault="00411662" w:rsidP="00411662">
    <w:pPr>
      <w:pStyle w:val="Stopka"/>
      <w:tabs>
        <w:tab w:val="clear" w:pos="4536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3D7499BE" wp14:editId="089F930B">
          <wp:simplePos x="0" y="0"/>
          <wp:positionH relativeFrom="column">
            <wp:posOffset>5010150</wp:posOffset>
          </wp:positionH>
          <wp:positionV relativeFrom="paragraph">
            <wp:posOffset>0</wp:posOffset>
          </wp:positionV>
          <wp:extent cx="1638935" cy="647065"/>
          <wp:effectExtent l="0" t="0" r="0" b="635"/>
          <wp:wrapNone/>
          <wp:docPr id="1591979107" name="Obraz 2" descr="Obraz zawierający Grafika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979107" name="Obraz 2" descr="Obraz zawierający Grafika, Czcionka, symbol, logo&#10;&#10;Opis wygenerowany automatyczni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3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F4F71D7" wp14:editId="65CF222A">
          <wp:simplePos x="0" y="0"/>
          <wp:positionH relativeFrom="margin">
            <wp:posOffset>0</wp:posOffset>
          </wp:positionH>
          <wp:positionV relativeFrom="page">
            <wp:posOffset>10056495</wp:posOffset>
          </wp:positionV>
          <wp:extent cx="4774223" cy="291465"/>
          <wp:effectExtent l="0" t="0" r="1270" b="635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96"/>
                  <a:stretch/>
                </pic:blipFill>
                <pic:spPr bwMode="auto">
                  <a:xfrm>
                    <a:off x="0" y="0"/>
                    <a:ext cx="4774223" cy="29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50FF3F" w14:textId="77777777" w:rsidR="00D9269B" w:rsidRDefault="00D9269B" w:rsidP="003F2BCF">
      <w:r>
        <w:separator/>
      </w:r>
    </w:p>
  </w:footnote>
  <w:footnote w:type="continuationSeparator" w:id="0">
    <w:p w14:paraId="27CBB044" w14:textId="77777777" w:rsidR="00D9269B" w:rsidRDefault="00D9269B" w:rsidP="003F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04A724" w14:textId="1984C148" w:rsidR="003F2BCF" w:rsidRDefault="003F2BCF">
    <w:pPr>
      <w:pStyle w:val="Nagwek"/>
    </w:pPr>
    <w:r w:rsidRPr="003F2BCF">
      <w:rPr>
        <w:noProof/>
      </w:rPr>
      <w:drawing>
        <wp:anchor distT="0" distB="0" distL="114300" distR="114300" simplePos="0" relativeHeight="251659264" behindDoc="0" locked="0" layoutInCell="1" allowOverlap="1" wp14:anchorId="14F798B0" wp14:editId="3F2A7D9A">
          <wp:simplePos x="0" y="0"/>
          <wp:positionH relativeFrom="column">
            <wp:posOffset>0</wp:posOffset>
          </wp:positionH>
          <wp:positionV relativeFrom="paragraph">
            <wp:posOffset>-175652</wp:posOffset>
          </wp:positionV>
          <wp:extent cx="5760720" cy="815340"/>
          <wp:effectExtent l="0" t="0" r="5080" b="0"/>
          <wp:wrapNone/>
          <wp:docPr id="18749943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943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2BCF">
      <w:rPr>
        <w:noProof/>
      </w:rPr>
      <w:drawing>
        <wp:anchor distT="0" distB="0" distL="114300" distR="114300" simplePos="0" relativeHeight="251658240" behindDoc="0" locked="0" layoutInCell="1" allowOverlap="1" wp14:anchorId="02E09351" wp14:editId="788447B7">
          <wp:simplePos x="0" y="0"/>
          <wp:positionH relativeFrom="column">
            <wp:posOffset>2423890</wp:posOffset>
          </wp:positionH>
          <wp:positionV relativeFrom="paragraph">
            <wp:posOffset>2467610</wp:posOffset>
          </wp:positionV>
          <wp:extent cx="5478709" cy="7042243"/>
          <wp:effectExtent l="0" t="0" r="0" b="0"/>
          <wp:wrapNone/>
          <wp:docPr id="6562577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57753" name="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8709" cy="70422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310A8F"/>
    <w:multiLevelType w:val="hybridMultilevel"/>
    <w:tmpl w:val="9B524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8914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CF"/>
    <w:rsid w:val="00006FE2"/>
    <w:rsid w:val="000152FD"/>
    <w:rsid w:val="00017B95"/>
    <w:rsid w:val="0004445A"/>
    <w:rsid w:val="00057056"/>
    <w:rsid w:val="00064EB8"/>
    <w:rsid w:val="00075054"/>
    <w:rsid w:val="000A070F"/>
    <w:rsid w:val="000C4C54"/>
    <w:rsid w:val="0011653F"/>
    <w:rsid w:val="00123760"/>
    <w:rsid w:val="00126C70"/>
    <w:rsid w:val="0015003D"/>
    <w:rsid w:val="001777B9"/>
    <w:rsid w:val="00182DC2"/>
    <w:rsid w:val="00185C4D"/>
    <w:rsid w:val="001972F2"/>
    <w:rsid w:val="001C6243"/>
    <w:rsid w:val="0020307B"/>
    <w:rsid w:val="0020414B"/>
    <w:rsid w:val="00213B3E"/>
    <w:rsid w:val="00223A46"/>
    <w:rsid w:val="0022536D"/>
    <w:rsid w:val="00247765"/>
    <w:rsid w:val="00267914"/>
    <w:rsid w:val="002B4AEA"/>
    <w:rsid w:val="00306F4A"/>
    <w:rsid w:val="00312F03"/>
    <w:rsid w:val="003213A0"/>
    <w:rsid w:val="0033309B"/>
    <w:rsid w:val="0034533B"/>
    <w:rsid w:val="0034662C"/>
    <w:rsid w:val="0034696A"/>
    <w:rsid w:val="00393B56"/>
    <w:rsid w:val="003C7048"/>
    <w:rsid w:val="003D2507"/>
    <w:rsid w:val="003D67BE"/>
    <w:rsid w:val="003E0713"/>
    <w:rsid w:val="003F2BCF"/>
    <w:rsid w:val="003F3C18"/>
    <w:rsid w:val="00411662"/>
    <w:rsid w:val="0042763A"/>
    <w:rsid w:val="0043159D"/>
    <w:rsid w:val="00433343"/>
    <w:rsid w:val="00463CDC"/>
    <w:rsid w:val="0047656D"/>
    <w:rsid w:val="00477C3C"/>
    <w:rsid w:val="004810C2"/>
    <w:rsid w:val="004A1017"/>
    <w:rsid w:val="004A3B37"/>
    <w:rsid w:val="004C4CD5"/>
    <w:rsid w:val="004D289B"/>
    <w:rsid w:val="005457F7"/>
    <w:rsid w:val="00545ED0"/>
    <w:rsid w:val="005575EF"/>
    <w:rsid w:val="005675D8"/>
    <w:rsid w:val="00570D1B"/>
    <w:rsid w:val="005832B5"/>
    <w:rsid w:val="00595541"/>
    <w:rsid w:val="005A4775"/>
    <w:rsid w:val="005A685E"/>
    <w:rsid w:val="005C0EE5"/>
    <w:rsid w:val="005E03AC"/>
    <w:rsid w:val="005F456F"/>
    <w:rsid w:val="005F70AB"/>
    <w:rsid w:val="0061219C"/>
    <w:rsid w:val="00632608"/>
    <w:rsid w:val="0064328B"/>
    <w:rsid w:val="006A0417"/>
    <w:rsid w:val="006A0B84"/>
    <w:rsid w:val="006A54EC"/>
    <w:rsid w:val="006B3E0D"/>
    <w:rsid w:val="00700880"/>
    <w:rsid w:val="00721F33"/>
    <w:rsid w:val="0072269D"/>
    <w:rsid w:val="00750B46"/>
    <w:rsid w:val="00780AF1"/>
    <w:rsid w:val="007A0219"/>
    <w:rsid w:val="007A5CF0"/>
    <w:rsid w:val="007C61FB"/>
    <w:rsid w:val="007D2B5C"/>
    <w:rsid w:val="007F24FE"/>
    <w:rsid w:val="0081446E"/>
    <w:rsid w:val="0083573A"/>
    <w:rsid w:val="00842D8E"/>
    <w:rsid w:val="00847324"/>
    <w:rsid w:val="008656AE"/>
    <w:rsid w:val="0088153B"/>
    <w:rsid w:val="00885B7C"/>
    <w:rsid w:val="00893910"/>
    <w:rsid w:val="00893BC1"/>
    <w:rsid w:val="008B127B"/>
    <w:rsid w:val="008C1141"/>
    <w:rsid w:val="008E7B47"/>
    <w:rsid w:val="00926134"/>
    <w:rsid w:val="00951CBE"/>
    <w:rsid w:val="00952BB2"/>
    <w:rsid w:val="009B3679"/>
    <w:rsid w:val="009C4941"/>
    <w:rsid w:val="009D2165"/>
    <w:rsid w:val="009E4ADC"/>
    <w:rsid w:val="00A36772"/>
    <w:rsid w:val="00A44619"/>
    <w:rsid w:val="00A54618"/>
    <w:rsid w:val="00A63304"/>
    <w:rsid w:val="00A66E66"/>
    <w:rsid w:val="00A95684"/>
    <w:rsid w:val="00AA7578"/>
    <w:rsid w:val="00AC5B26"/>
    <w:rsid w:val="00AD7CAA"/>
    <w:rsid w:val="00B01EFF"/>
    <w:rsid w:val="00B20F2D"/>
    <w:rsid w:val="00B27502"/>
    <w:rsid w:val="00B37A93"/>
    <w:rsid w:val="00B44EF8"/>
    <w:rsid w:val="00B72E74"/>
    <w:rsid w:val="00B72F92"/>
    <w:rsid w:val="00BF01BC"/>
    <w:rsid w:val="00BF6D2D"/>
    <w:rsid w:val="00C00A90"/>
    <w:rsid w:val="00C140DD"/>
    <w:rsid w:val="00C23612"/>
    <w:rsid w:val="00C26435"/>
    <w:rsid w:val="00C30EE1"/>
    <w:rsid w:val="00C3378D"/>
    <w:rsid w:val="00C52441"/>
    <w:rsid w:val="00C5370C"/>
    <w:rsid w:val="00C80E1A"/>
    <w:rsid w:val="00C86E1D"/>
    <w:rsid w:val="00CB1D84"/>
    <w:rsid w:val="00CC1300"/>
    <w:rsid w:val="00CC265C"/>
    <w:rsid w:val="00CC758C"/>
    <w:rsid w:val="00CE2BE4"/>
    <w:rsid w:val="00D0505B"/>
    <w:rsid w:val="00D05826"/>
    <w:rsid w:val="00D05E1B"/>
    <w:rsid w:val="00D11FBA"/>
    <w:rsid w:val="00D148D2"/>
    <w:rsid w:val="00D16724"/>
    <w:rsid w:val="00D33D42"/>
    <w:rsid w:val="00D465B2"/>
    <w:rsid w:val="00D57611"/>
    <w:rsid w:val="00D67E41"/>
    <w:rsid w:val="00D86DA9"/>
    <w:rsid w:val="00D9269B"/>
    <w:rsid w:val="00DC34E7"/>
    <w:rsid w:val="00DD2BF2"/>
    <w:rsid w:val="00DE1712"/>
    <w:rsid w:val="00DF3EA7"/>
    <w:rsid w:val="00E05FA0"/>
    <w:rsid w:val="00E27F92"/>
    <w:rsid w:val="00E3134B"/>
    <w:rsid w:val="00E70367"/>
    <w:rsid w:val="00E769F2"/>
    <w:rsid w:val="00EA34C6"/>
    <w:rsid w:val="00EA4BFD"/>
    <w:rsid w:val="00EA7641"/>
    <w:rsid w:val="00EB60F9"/>
    <w:rsid w:val="00ED4BBA"/>
    <w:rsid w:val="00ED6F2E"/>
    <w:rsid w:val="00EE656D"/>
    <w:rsid w:val="00F04AB8"/>
    <w:rsid w:val="00F12878"/>
    <w:rsid w:val="00F14004"/>
    <w:rsid w:val="00F232AB"/>
    <w:rsid w:val="00F36462"/>
    <w:rsid w:val="00F54334"/>
    <w:rsid w:val="00F66309"/>
    <w:rsid w:val="00F92BC9"/>
    <w:rsid w:val="00F92BFE"/>
    <w:rsid w:val="00FA0035"/>
    <w:rsid w:val="00FA3E0C"/>
    <w:rsid w:val="00FB3969"/>
    <w:rsid w:val="00FC5356"/>
    <w:rsid w:val="00FD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8C9D"/>
  <w15:chartTrackingRefBased/>
  <w15:docId w15:val="{D92075D4-3645-8449-BE75-50D1FB0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2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2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2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2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2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2B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2B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2B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2B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2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2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2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2B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2B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2B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2B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2B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2B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2B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2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2B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2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2B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2B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2B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2B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2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2B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2B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F2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2BCF"/>
  </w:style>
  <w:style w:type="paragraph" w:styleId="Stopka">
    <w:name w:val="footer"/>
    <w:basedOn w:val="Normalny"/>
    <w:link w:val="StopkaZnak"/>
    <w:uiPriority w:val="99"/>
    <w:unhideWhenUsed/>
    <w:rsid w:val="003F2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2BCF"/>
  </w:style>
  <w:style w:type="paragraph" w:styleId="Poprawka">
    <w:name w:val="Revision"/>
    <w:hidden/>
    <w:uiPriority w:val="99"/>
    <w:semiHidden/>
    <w:rsid w:val="003F3C18"/>
  </w:style>
  <w:style w:type="character" w:styleId="Hipercze">
    <w:name w:val="Hyperlink"/>
    <w:basedOn w:val="Domylnaczcionkaakapitu"/>
    <w:uiPriority w:val="99"/>
    <w:unhideWhenUsed/>
    <w:rsid w:val="00FC5356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FC53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FC5356"/>
  </w:style>
  <w:style w:type="character" w:styleId="Nierozpoznanawzmianka">
    <w:name w:val="Unresolved Mention"/>
    <w:basedOn w:val="Domylnaczcionkaakapitu"/>
    <w:uiPriority w:val="99"/>
    <w:semiHidden/>
    <w:unhideWhenUsed/>
    <w:rsid w:val="00FC535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3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ciej.gis@psn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862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5</cp:revision>
  <dcterms:created xsi:type="dcterms:W3CDTF">2026-07-14T08:54:00Z</dcterms:created>
  <dcterms:modified xsi:type="dcterms:W3CDTF">2026-07-14T09:50:00Z</dcterms:modified>
</cp:coreProperties>
</file>