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1B7385" w14:textId="77777777" w:rsidR="003D5677" w:rsidRDefault="002E24E3" w:rsidP="002E24E3">
      <w:pPr>
        <w:pStyle w:val="NormalnyWeb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Wealth Tax </w:t>
      </w:r>
      <w:r w:rsidRPr="009F2812">
        <w:rPr>
          <w:rFonts w:asciiTheme="minorHAnsi" w:hAnsiTheme="minorHAnsi" w:cstheme="minorHAnsi"/>
          <w:b/>
          <w:bCs/>
          <w:sz w:val="28"/>
          <w:szCs w:val="28"/>
        </w:rPr>
        <w:t>i ulga Beckhama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to nie wszystko</w:t>
      </w:r>
      <w:r w:rsidRPr="009F2812">
        <w:rPr>
          <w:rFonts w:asciiTheme="minorHAnsi" w:hAnsiTheme="minorHAnsi" w:cstheme="minorHAnsi"/>
          <w:b/>
          <w:bCs/>
          <w:sz w:val="28"/>
          <w:szCs w:val="28"/>
        </w:rPr>
        <w:t xml:space="preserve">. Co </w:t>
      </w:r>
      <w:r>
        <w:rPr>
          <w:rFonts w:asciiTheme="minorHAnsi" w:hAnsiTheme="minorHAnsi" w:cstheme="minorHAnsi"/>
          <w:b/>
          <w:bCs/>
          <w:sz w:val="28"/>
          <w:szCs w:val="28"/>
        </w:rPr>
        <w:t>muszą wiedzieć Polacy, którzy kupują dom w Hiszpanii</w:t>
      </w:r>
    </w:p>
    <w:p w14:paraId="452BAF73" w14:textId="77777777" w:rsidR="003D5677" w:rsidRDefault="003D5677" w:rsidP="002E24E3">
      <w:pPr>
        <w:pStyle w:val="NormalnyWeb"/>
        <w:rPr>
          <w:rFonts w:asciiTheme="minorHAnsi" w:hAnsiTheme="minorHAnsi" w:cstheme="minorHAnsi"/>
          <w:b/>
          <w:bCs/>
          <w:sz w:val="28"/>
          <w:szCs w:val="28"/>
        </w:rPr>
      </w:pPr>
    </w:p>
    <w:p w14:paraId="37F6AB9D" w14:textId="77777777" w:rsidR="003D5677" w:rsidRDefault="002819C7" w:rsidP="002E24E3">
      <w:pPr>
        <w:pStyle w:val="NormalnyWeb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Polacy, którzy kupują</w:t>
      </w:r>
      <w:r w:rsidR="002E24E3" w:rsidRPr="009F2812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>nieruchomość</w:t>
      </w:r>
      <w:r w:rsidR="002E24E3" w:rsidRPr="009F2812">
        <w:rPr>
          <w:rFonts w:asciiTheme="minorHAnsi" w:hAnsiTheme="minorHAnsi" w:cstheme="minorHAnsi"/>
          <w:sz w:val="28"/>
          <w:szCs w:val="28"/>
        </w:rPr>
        <w:t xml:space="preserve"> w Hiszpanii </w:t>
      </w:r>
      <w:r w:rsidR="002E24E3">
        <w:rPr>
          <w:rFonts w:asciiTheme="minorHAnsi" w:hAnsiTheme="minorHAnsi" w:cstheme="minorHAnsi"/>
          <w:sz w:val="28"/>
          <w:szCs w:val="28"/>
        </w:rPr>
        <w:t xml:space="preserve">i </w:t>
      </w:r>
      <w:r>
        <w:rPr>
          <w:rFonts w:asciiTheme="minorHAnsi" w:hAnsiTheme="minorHAnsi" w:cstheme="minorHAnsi"/>
          <w:sz w:val="28"/>
          <w:szCs w:val="28"/>
        </w:rPr>
        <w:t>pozostają</w:t>
      </w:r>
      <w:r w:rsidR="002E24E3" w:rsidRPr="009F2812">
        <w:rPr>
          <w:rFonts w:asciiTheme="minorHAnsi" w:hAnsiTheme="minorHAnsi" w:cstheme="minorHAnsi"/>
          <w:sz w:val="28"/>
          <w:szCs w:val="28"/>
        </w:rPr>
        <w:t xml:space="preserve"> polskim</w:t>
      </w:r>
      <w:r>
        <w:rPr>
          <w:rFonts w:asciiTheme="minorHAnsi" w:hAnsiTheme="minorHAnsi" w:cstheme="minorHAnsi"/>
          <w:sz w:val="28"/>
          <w:szCs w:val="28"/>
        </w:rPr>
        <w:t>i rezydenta</w:t>
      </w:r>
      <w:r w:rsidR="002E24E3" w:rsidRPr="009F2812">
        <w:rPr>
          <w:rFonts w:asciiTheme="minorHAnsi" w:hAnsiTheme="minorHAnsi" w:cstheme="minorHAnsi"/>
          <w:sz w:val="28"/>
          <w:szCs w:val="28"/>
        </w:rPr>
        <w:t>m</w:t>
      </w:r>
      <w:r>
        <w:rPr>
          <w:rFonts w:asciiTheme="minorHAnsi" w:hAnsiTheme="minorHAnsi" w:cstheme="minorHAnsi"/>
          <w:sz w:val="28"/>
          <w:szCs w:val="28"/>
        </w:rPr>
        <w:t>i</w:t>
      </w:r>
      <w:r w:rsidR="002E24E3" w:rsidRPr="009F2812">
        <w:rPr>
          <w:rFonts w:asciiTheme="minorHAnsi" w:hAnsiTheme="minorHAnsi" w:cstheme="minorHAnsi"/>
          <w:sz w:val="28"/>
          <w:szCs w:val="28"/>
        </w:rPr>
        <w:t xml:space="preserve"> podatkowym</w:t>
      </w:r>
      <w:r>
        <w:rPr>
          <w:rFonts w:asciiTheme="minorHAnsi" w:hAnsiTheme="minorHAnsi" w:cstheme="minorHAnsi"/>
          <w:sz w:val="28"/>
          <w:szCs w:val="28"/>
        </w:rPr>
        <w:t>i, płacą</w:t>
      </w:r>
      <w:r w:rsidR="002E24E3" w:rsidRPr="009F2812">
        <w:rPr>
          <w:rFonts w:asciiTheme="minorHAnsi" w:hAnsiTheme="minorHAnsi" w:cstheme="minorHAnsi"/>
          <w:sz w:val="28"/>
          <w:szCs w:val="28"/>
        </w:rPr>
        <w:t xml:space="preserve"> w Hiszpanii wy</w:t>
      </w:r>
      <w:r>
        <w:rPr>
          <w:rFonts w:asciiTheme="minorHAnsi" w:hAnsiTheme="minorHAnsi" w:cstheme="minorHAnsi"/>
          <w:sz w:val="28"/>
          <w:szCs w:val="28"/>
        </w:rPr>
        <w:t>łącznie podatki związane z samym domem czy mieszkaniem. Z dniem, w którym stają</w:t>
      </w:r>
      <w:r w:rsidR="002E24E3" w:rsidRPr="009F2812">
        <w:rPr>
          <w:rFonts w:asciiTheme="minorHAnsi" w:hAnsiTheme="minorHAnsi" w:cstheme="minorHAnsi"/>
          <w:sz w:val="28"/>
          <w:szCs w:val="28"/>
        </w:rPr>
        <w:t xml:space="preserve"> się hiszpańskim</w:t>
      </w:r>
      <w:r>
        <w:rPr>
          <w:rFonts w:asciiTheme="minorHAnsi" w:hAnsiTheme="minorHAnsi" w:cstheme="minorHAnsi"/>
          <w:sz w:val="28"/>
          <w:szCs w:val="28"/>
        </w:rPr>
        <w:t>i rezydentami</w:t>
      </w:r>
      <w:r w:rsidR="002E24E3" w:rsidRPr="009F2812">
        <w:rPr>
          <w:rFonts w:asciiTheme="minorHAnsi" w:hAnsiTheme="minorHAnsi" w:cstheme="minorHAnsi"/>
          <w:sz w:val="28"/>
          <w:szCs w:val="28"/>
        </w:rPr>
        <w:t xml:space="preserve">, zmienia się podstawa: Hiszpania zaczyna patrzeć na </w:t>
      </w:r>
      <w:r>
        <w:rPr>
          <w:rFonts w:asciiTheme="minorHAnsi" w:hAnsiTheme="minorHAnsi" w:cstheme="minorHAnsi"/>
          <w:sz w:val="28"/>
          <w:szCs w:val="28"/>
        </w:rPr>
        <w:t>ich</w:t>
      </w:r>
      <w:r w:rsidR="002E24E3" w:rsidRPr="009F2812">
        <w:rPr>
          <w:rFonts w:asciiTheme="minorHAnsi" w:hAnsiTheme="minorHAnsi" w:cstheme="minorHAnsi"/>
          <w:sz w:val="28"/>
          <w:szCs w:val="28"/>
        </w:rPr>
        <w:t xml:space="preserve"> dochody i majątek na całym świecie</w:t>
      </w:r>
      <w:r w:rsidR="002E24E3">
        <w:rPr>
          <w:rFonts w:asciiTheme="minorHAnsi" w:hAnsiTheme="minorHAnsi" w:cstheme="minorHAnsi"/>
          <w:sz w:val="28"/>
          <w:szCs w:val="28"/>
        </w:rPr>
        <w:t>.</w:t>
      </w:r>
      <w:r w:rsidR="003D5677">
        <w:rPr>
          <w:rFonts w:asciiTheme="minorHAnsi" w:hAnsiTheme="minorHAnsi" w:cstheme="minorHAnsi"/>
          <w:sz w:val="28"/>
          <w:szCs w:val="28"/>
        </w:rPr>
        <w:br/>
      </w:r>
    </w:p>
    <w:p w14:paraId="0D2281E7" w14:textId="77777777" w:rsidR="00294EDC" w:rsidRDefault="002E24E3" w:rsidP="00294EDC">
      <w:pPr>
        <w:pStyle w:val="NormalnyWeb"/>
        <w:rPr>
          <w:rFonts w:asciiTheme="minorHAnsi" w:hAnsiTheme="minorHAnsi" w:cstheme="minorHAnsi"/>
          <w:sz w:val="28"/>
          <w:szCs w:val="28"/>
        </w:rPr>
      </w:pPr>
      <w:r w:rsidRPr="009F2812">
        <w:rPr>
          <w:rFonts w:asciiTheme="minorHAnsi" w:hAnsiTheme="minorHAnsi" w:cstheme="minorHAnsi"/>
          <w:sz w:val="28"/>
          <w:szCs w:val="28"/>
        </w:rPr>
        <w:t xml:space="preserve">Hiszpania uznaje osobę fizyczną za swojego rezydenta podatkowego, jeżeli spełniony jest choćby jeden z trzech warunków: pobyt dłuższy niż 183 dni w roku kalendarzowym, umiejscowienie w Hiszpanii centrum działalności lub interesów gospodarczych albo zamieszkanie w Hiszpanii małżonka i zależnych od podatnika małoletnich dzieci. </w:t>
      </w:r>
      <w:r w:rsidR="00294EDC">
        <w:rPr>
          <w:rFonts w:asciiTheme="minorHAnsi" w:hAnsiTheme="minorHAnsi" w:cstheme="minorHAnsi"/>
          <w:sz w:val="28"/>
          <w:szCs w:val="28"/>
        </w:rPr>
        <w:br/>
      </w:r>
      <w:r w:rsidR="00294EDC">
        <w:rPr>
          <w:rFonts w:asciiTheme="minorHAnsi" w:hAnsiTheme="minorHAnsi" w:cstheme="minorHAnsi"/>
          <w:sz w:val="28"/>
          <w:szCs w:val="28"/>
        </w:rPr>
        <w:br/>
      </w:r>
      <w:r w:rsidRPr="009F2812">
        <w:rPr>
          <w:rFonts w:asciiTheme="minorHAnsi" w:hAnsiTheme="minorHAnsi" w:cstheme="minorHAnsi"/>
          <w:b/>
          <w:bCs/>
          <w:sz w:val="28"/>
          <w:szCs w:val="28"/>
        </w:rPr>
        <w:t xml:space="preserve">Co płaci nierezydent, który ma dom w </w:t>
      </w:r>
      <w:r>
        <w:rPr>
          <w:rFonts w:asciiTheme="minorHAnsi" w:hAnsiTheme="minorHAnsi" w:cstheme="minorHAnsi"/>
          <w:b/>
          <w:bCs/>
          <w:sz w:val="28"/>
          <w:szCs w:val="28"/>
        </w:rPr>
        <w:t>Hiszpanii</w:t>
      </w:r>
      <w:r w:rsidR="00294EDC">
        <w:rPr>
          <w:rFonts w:asciiTheme="minorHAnsi" w:hAnsiTheme="minorHAnsi" w:cstheme="minorHAnsi"/>
          <w:b/>
          <w:bCs/>
          <w:sz w:val="28"/>
          <w:szCs w:val="28"/>
        </w:rPr>
        <w:br/>
      </w:r>
      <w:r w:rsidR="00294EDC">
        <w:rPr>
          <w:rFonts w:asciiTheme="minorHAnsi" w:hAnsiTheme="minorHAnsi" w:cstheme="minorHAnsi"/>
          <w:b/>
          <w:bCs/>
          <w:sz w:val="28"/>
          <w:szCs w:val="28"/>
        </w:rPr>
        <w:br/>
      </w:r>
      <w:r w:rsidRPr="009F2812">
        <w:rPr>
          <w:rFonts w:asciiTheme="minorHAnsi" w:hAnsiTheme="minorHAnsi" w:cstheme="minorHAnsi"/>
          <w:sz w:val="28"/>
          <w:szCs w:val="28"/>
        </w:rPr>
        <w:t>Polski rezydent podatkowy</w:t>
      </w:r>
      <w:r>
        <w:rPr>
          <w:rFonts w:asciiTheme="minorHAnsi" w:hAnsiTheme="minorHAnsi" w:cstheme="minorHAnsi"/>
          <w:sz w:val="28"/>
          <w:szCs w:val="28"/>
        </w:rPr>
        <w:t>, który</w:t>
      </w:r>
      <w:r w:rsidRPr="009F2812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>posiada</w:t>
      </w:r>
      <w:r w:rsidRPr="009F2812">
        <w:rPr>
          <w:rFonts w:asciiTheme="minorHAnsi" w:hAnsiTheme="minorHAnsi" w:cstheme="minorHAnsi"/>
          <w:sz w:val="28"/>
          <w:szCs w:val="28"/>
        </w:rPr>
        <w:t xml:space="preserve"> nieruchomość w Hiszpanii </w:t>
      </w:r>
      <w:r>
        <w:rPr>
          <w:rFonts w:asciiTheme="minorHAnsi" w:hAnsiTheme="minorHAnsi" w:cstheme="minorHAnsi"/>
          <w:sz w:val="28"/>
          <w:szCs w:val="28"/>
        </w:rPr>
        <w:t>p</w:t>
      </w:r>
      <w:r w:rsidRPr="009F2812">
        <w:rPr>
          <w:rFonts w:asciiTheme="minorHAnsi" w:hAnsiTheme="minorHAnsi" w:cstheme="minorHAnsi"/>
          <w:sz w:val="28"/>
          <w:szCs w:val="28"/>
        </w:rPr>
        <w:t xml:space="preserve">łaci </w:t>
      </w:r>
      <w:r>
        <w:rPr>
          <w:rFonts w:asciiTheme="minorHAnsi" w:hAnsiTheme="minorHAnsi" w:cstheme="minorHAnsi"/>
          <w:sz w:val="28"/>
          <w:szCs w:val="28"/>
        </w:rPr>
        <w:t>przede wszystkim:</w:t>
      </w:r>
    </w:p>
    <w:p w14:paraId="7FDE228D" w14:textId="77777777" w:rsidR="00294EDC" w:rsidRDefault="00294EDC" w:rsidP="00294EDC">
      <w:pPr>
        <w:pStyle w:val="NormalnyWeb"/>
        <w:rPr>
          <w:rFonts w:asciiTheme="minorHAnsi" w:hAnsiTheme="minorHAnsi" w:cstheme="minorHAnsi"/>
          <w:sz w:val="28"/>
          <w:szCs w:val="28"/>
        </w:rPr>
      </w:pPr>
    </w:p>
    <w:p w14:paraId="07E07ECD" w14:textId="77777777" w:rsidR="00294EDC" w:rsidRPr="00294EDC" w:rsidRDefault="002E24E3" w:rsidP="00294EDC">
      <w:pPr>
        <w:pStyle w:val="NormalnyWeb"/>
        <w:numPr>
          <w:ilvl w:val="0"/>
          <w:numId w:val="5"/>
        </w:numPr>
        <w:rPr>
          <w:rFonts w:asciiTheme="minorHAnsi" w:hAnsiTheme="minorHAnsi" w:cstheme="minorHAnsi"/>
          <w:b/>
          <w:bCs/>
          <w:sz w:val="28"/>
          <w:szCs w:val="28"/>
        </w:rPr>
      </w:pPr>
      <w:r w:rsidRPr="00294EDC">
        <w:rPr>
          <w:rFonts w:asciiTheme="minorHAnsi" w:hAnsiTheme="minorHAnsi" w:cstheme="minorHAnsi"/>
          <w:sz w:val="28"/>
          <w:szCs w:val="28"/>
        </w:rPr>
        <w:t>IRNR (czyli hiszpański podatek dochodowy dla nierezydentów) od najmu – zasadniczo 19 proc. dla rezydentów UE, z możliwością odliczenia bezpośrednio związanych, prawidłowo udokumentowanych kosztów</w:t>
      </w:r>
      <w:r w:rsidR="002819C7" w:rsidRPr="00294EDC">
        <w:rPr>
          <w:rFonts w:asciiTheme="minorHAnsi" w:hAnsiTheme="minorHAnsi" w:cstheme="minorHAnsi"/>
          <w:sz w:val="28"/>
          <w:szCs w:val="28"/>
        </w:rPr>
        <w:t>;</w:t>
      </w:r>
    </w:p>
    <w:p w14:paraId="4A6D3073" w14:textId="77777777" w:rsidR="00294EDC" w:rsidRPr="00294EDC" w:rsidRDefault="002E24E3" w:rsidP="00294EDC">
      <w:pPr>
        <w:pStyle w:val="NormalnyWeb"/>
        <w:numPr>
          <w:ilvl w:val="0"/>
          <w:numId w:val="5"/>
        </w:numPr>
        <w:rPr>
          <w:rFonts w:asciiTheme="minorHAnsi" w:hAnsiTheme="minorHAnsi" w:cstheme="minorHAnsi"/>
          <w:b/>
          <w:bCs/>
          <w:sz w:val="28"/>
          <w:szCs w:val="28"/>
        </w:rPr>
      </w:pPr>
      <w:r w:rsidRPr="00294EDC">
        <w:rPr>
          <w:rFonts w:asciiTheme="minorHAnsi" w:hAnsiTheme="minorHAnsi" w:cstheme="minorHAnsi"/>
          <w:sz w:val="28"/>
          <w:szCs w:val="28"/>
        </w:rPr>
        <w:t>IRNR od przypisanej wartości użytkowania nieruchomości, jeżeli nie jest ona wynajmowana</w:t>
      </w:r>
      <w:r w:rsidR="002819C7" w:rsidRPr="00294EDC">
        <w:rPr>
          <w:rFonts w:asciiTheme="minorHAnsi" w:hAnsiTheme="minorHAnsi" w:cstheme="minorHAnsi"/>
          <w:sz w:val="28"/>
          <w:szCs w:val="28"/>
        </w:rPr>
        <w:t>;</w:t>
      </w:r>
    </w:p>
    <w:p w14:paraId="59E88B89" w14:textId="77777777" w:rsidR="00294EDC" w:rsidRPr="00294EDC" w:rsidRDefault="002E24E3" w:rsidP="00294EDC">
      <w:pPr>
        <w:pStyle w:val="NormalnyWeb"/>
        <w:numPr>
          <w:ilvl w:val="0"/>
          <w:numId w:val="5"/>
        </w:numPr>
        <w:rPr>
          <w:rFonts w:asciiTheme="minorHAnsi" w:hAnsiTheme="minorHAnsi" w:cstheme="minorHAnsi"/>
          <w:b/>
          <w:bCs/>
          <w:sz w:val="28"/>
          <w:szCs w:val="28"/>
        </w:rPr>
      </w:pPr>
      <w:r w:rsidRPr="00294EDC">
        <w:rPr>
          <w:rFonts w:asciiTheme="minorHAnsi" w:hAnsiTheme="minorHAnsi" w:cstheme="minorHAnsi"/>
          <w:sz w:val="28"/>
          <w:szCs w:val="28"/>
        </w:rPr>
        <w:t>19 proc. od zysku ze sprzedaży, przy czym kupujący obowiązkowo zatrzymuje 3 proc. ceny jako zaliczkę na ten podatek</w:t>
      </w:r>
      <w:r w:rsidR="002819C7" w:rsidRPr="00294EDC">
        <w:rPr>
          <w:rFonts w:asciiTheme="minorHAnsi" w:hAnsiTheme="minorHAnsi" w:cstheme="minorHAnsi"/>
          <w:sz w:val="28"/>
          <w:szCs w:val="28"/>
        </w:rPr>
        <w:t>;</w:t>
      </w:r>
    </w:p>
    <w:p w14:paraId="493DE5DA" w14:textId="77777777" w:rsidR="002E24E3" w:rsidRPr="00294EDC" w:rsidRDefault="002E24E3" w:rsidP="00294EDC">
      <w:pPr>
        <w:pStyle w:val="NormalnyWeb"/>
        <w:numPr>
          <w:ilvl w:val="0"/>
          <w:numId w:val="5"/>
        </w:numPr>
        <w:rPr>
          <w:rFonts w:asciiTheme="minorHAnsi" w:hAnsiTheme="minorHAnsi" w:cstheme="minorHAnsi"/>
          <w:b/>
          <w:bCs/>
          <w:sz w:val="28"/>
          <w:szCs w:val="28"/>
        </w:rPr>
      </w:pPr>
      <w:r w:rsidRPr="00294EDC">
        <w:rPr>
          <w:rFonts w:asciiTheme="minorHAnsi" w:hAnsiTheme="minorHAnsi" w:cstheme="minorHAnsi"/>
          <w:sz w:val="28"/>
          <w:szCs w:val="28"/>
        </w:rPr>
        <w:t>lokalny podatek od nieruchomości IBI oraz ewentualny podatek majątkowy – wyłącznie od aktywów położonych w Hiszpanii.</w:t>
      </w:r>
      <w:r w:rsidRPr="00294EDC">
        <w:rPr>
          <w:rFonts w:asciiTheme="minorHAnsi" w:hAnsiTheme="minorHAnsi" w:cstheme="minorHAnsi"/>
          <w:sz w:val="28"/>
          <w:szCs w:val="28"/>
        </w:rPr>
        <w:br/>
      </w:r>
    </w:p>
    <w:p w14:paraId="66A7C94A" w14:textId="15D8FBF4" w:rsidR="002819C7" w:rsidRDefault="006235ED" w:rsidP="002E24E3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Co się zmienia, gdy </w:t>
      </w:r>
      <w:r w:rsidR="002E24E3" w:rsidRPr="009F2812">
        <w:rPr>
          <w:rFonts w:asciiTheme="minorHAnsi" w:hAnsiTheme="minorHAnsi" w:cstheme="minorHAnsi"/>
          <w:b/>
          <w:bCs/>
          <w:sz w:val="28"/>
          <w:szCs w:val="28"/>
        </w:rPr>
        <w:t>zostajesz hiszpańskim rezydentem</w:t>
      </w:r>
      <w:r w:rsidR="002819C7">
        <w:rPr>
          <w:rFonts w:asciiTheme="minorHAnsi" w:hAnsiTheme="minorHAnsi" w:cstheme="minorHAnsi"/>
          <w:b/>
          <w:bCs/>
          <w:sz w:val="28"/>
          <w:szCs w:val="28"/>
        </w:rPr>
        <w:br/>
      </w:r>
      <w:r w:rsidR="002E24E3">
        <w:rPr>
          <w:rFonts w:asciiTheme="minorHAnsi" w:hAnsiTheme="minorHAnsi" w:cstheme="minorHAnsi"/>
          <w:b/>
          <w:bCs/>
          <w:sz w:val="28"/>
          <w:szCs w:val="28"/>
        </w:rPr>
        <w:br/>
      </w:r>
      <w:r w:rsidR="002E24E3">
        <w:rPr>
          <w:rFonts w:asciiTheme="minorHAnsi" w:hAnsiTheme="minorHAnsi" w:cstheme="minorHAnsi"/>
          <w:sz w:val="28"/>
          <w:szCs w:val="28"/>
        </w:rPr>
        <w:t>H</w:t>
      </w:r>
      <w:r w:rsidR="002E24E3" w:rsidRPr="009F2812">
        <w:rPr>
          <w:rFonts w:asciiTheme="minorHAnsi" w:hAnsiTheme="minorHAnsi" w:cstheme="minorHAnsi"/>
          <w:sz w:val="28"/>
          <w:szCs w:val="28"/>
        </w:rPr>
        <w:t xml:space="preserve">iszpański rezydent rozlicza tu co do zasady cały światowy dochód: pensje, </w:t>
      </w:r>
      <w:r w:rsidR="002E24E3" w:rsidRPr="002E24E3">
        <w:rPr>
          <w:rFonts w:asciiTheme="minorHAnsi" w:hAnsiTheme="minorHAnsi" w:cstheme="minorHAnsi"/>
          <w:sz w:val="28"/>
          <w:szCs w:val="28"/>
        </w:rPr>
        <w:t xml:space="preserve">działalność, dochód z polskich spółek, dywidendy, odsetki, najem nieruchomości w Polsce, sprzedaż akcji i nieruchomości, część świadczeń emerytalnych oraz zagraniczne struktury i spółki kontrolowane. </w:t>
      </w:r>
    </w:p>
    <w:p w14:paraId="4DE207B4" w14:textId="77777777" w:rsidR="002819C7" w:rsidRDefault="002819C7" w:rsidP="002E24E3">
      <w:pPr>
        <w:rPr>
          <w:rFonts w:asciiTheme="minorHAnsi" w:hAnsiTheme="minorHAnsi" w:cstheme="minorHAnsi"/>
          <w:sz w:val="28"/>
          <w:szCs w:val="28"/>
        </w:rPr>
      </w:pPr>
    </w:p>
    <w:p w14:paraId="734E6CD6" w14:textId="77777777" w:rsidR="002E24E3" w:rsidRPr="002E24E3" w:rsidRDefault="00294EDC" w:rsidP="002E24E3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–</w:t>
      </w:r>
      <w:r w:rsidR="002819C7">
        <w:rPr>
          <w:rFonts w:asciiTheme="minorHAnsi" w:hAnsiTheme="minorHAnsi" w:cstheme="minorHAnsi"/>
          <w:sz w:val="28"/>
          <w:szCs w:val="28"/>
        </w:rPr>
        <w:t xml:space="preserve"> </w:t>
      </w:r>
      <w:r w:rsidR="002E24E3" w:rsidRPr="002E24E3">
        <w:rPr>
          <w:rFonts w:asciiTheme="minorHAnsi" w:hAnsiTheme="minorHAnsi" w:cstheme="minorHAnsi"/>
          <w:sz w:val="28"/>
          <w:szCs w:val="28"/>
        </w:rPr>
        <w:t xml:space="preserve">Umowa </w:t>
      </w:r>
      <w:r w:rsidR="002819C7">
        <w:rPr>
          <w:rFonts w:asciiTheme="minorHAnsi" w:hAnsiTheme="minorHAnsi" w:cstheme="minorHAnsi"/>
          <w:sz w:val="28"/>
          <w:szCs w:val="28"/>
        </w:rPr>
        <w:t>Polska-</w:t>
      </w:r>
      <w:r w:rsidR="002E24E3" w:rsidRPr="002E24E3">
        <w:rPr>
          <w:rFonts w:asciiTheme="minorHAnsi" w:hAnsiTheme="minorHAnsi" w:cstheme="minorHAnsi"/>
          <w:sz w:val="28"/>
          <w:szCs w:val="28"/>
        </w:rPr>
        <w:t>Hiszpania rozstrzyga, które państwo może opodatkować dany dochód i jak u</w:t>
      </w:r>
      <w:r w:rsidR="002819C7">
        <w:rPr>
          <w:rFonts w:asciiTheme="minorHAnsi" w:hAnsiTheme="minorHAnsi" w:cstheme="minorHAnsi"/>
          <w:sz w:val="28"/>
          <w:szCs w:val="28"/>
        </w:rPr>
        <w:t>sunąć podwójne opodatkowanie. N</w:t>
      </w:r>
      <w:r w:rsidR="002E24E3" w:rsidRPr="002E24E3">
        <w:rPr>
          <w:rFonts w:asciiTheme="minorHAnsi" w:hAnsiTheme="minorHAnsi" w:cstheme="minorHAnsi"/>
          <w:sz w:val="28"/>
          <w:szCs w:val="28"/>
        </w:rPr>
        <w:t>ie pozwala jedna</w:t>
      </w:r>
      <w:r w:rsidR="002819C7">
        <w:rPr>
          <w:rFonts w:asciiTheme="minorHAnsi" w:hAnsiTheme="minorHAnsi" w:cstheme="minorHAnsi"/>
          <w:sz w:val="28"/>
          <w:szCs w:val="28"/>
        </w:rPr>
        <w:t>k wybrać kraju zapłaty podatku – wyjaśnia Joanna Ossowska –Rodziewicz</w:t>
      </w:r>
      <w:r w:rsidR="002819C7" w:rsidRPr="002E24E3">
        <w:rPr>
          <w:rFonts w:asciiTheme="minorHAnsi" w:hAnsiTheme="minorHAnsi" w:cstheme="minorHAnsi"/>
          <w:sz w:val="28"/>
          <w:szCs w:val="28"/>
        </w:rPr>
        <w:t xml:space="preserve">, </w:t>
      </w:r>
      <w:r w:rsidR="002819C7" w:rsidRPr="002E24E3">
        <w:rPr>
          <w:rFonts w:asciiTheme="minorHAnsi" w:hAnsiTheme="minorHAnsi" w:cstheme="minorHAnsi"/>
          <w:sz w:val="28"/>
          <w:szCs w:val="28"/>
        </w:rPr>
        <w:lastRenderedPageBreak/>
        <w:t>współwłaścicielka agencji nieruchomości By-Bright.</w:t>
      </w:r>
      <w:r w:rsidR="002819C7">
        <w:rPr>
          <w:rFonts w:asciiTheme="minorHAnsi" w:hAnsiTheme="minorHAnsi" w:cstheme="minorHAnsi"/>
          <w:sz w:val="28"/>
          <w:szCs w:val="28"/>
        </w:rPr>
        <w:br/>
      </w:r>
      <w:r w:rsidR="002819C7" w:rsidRPr="002E24E3">
        <w:rPr>
          <w:rFonts w:asciiTheme="minorHAnsi" w:hAnsiTheme="minorHAnsi" w:cstheme="minorHAnsi"/>
          <w:sz w:val="28"/>
          <w:szCs w:val="28"/>
        </w:rPr>
        <w:br/>
      </w:r>
      <w:r w:rsidR="002E24E3" w:rsidRPr="002E24E3">
        <w:rPr>
          <w:rFonts w:asciiTheme="minorHAnsi" w:hAnsiTheme="minorHAnsi" w:cstheme="minorHAnsi"/>
          <w:sz w:val="28"/>
          <w:szCs w:val="28"/>
        </w:rPr>
        <w:t>W hiszpańskim IRPF</w:t>
      </w:r>
      <w:r w:rsidR="002819C7">
        <w:rPr>
          <w:rFonts w:asciiTheme="minorHAnsi" w:hAnsiTheme="minorHAnsi" w:cstheme="minorHAnsi"/>
          <w:sz w:val="28"/>
          <w:szCs w:val="28"/>
        </w:rPr>
        <w:t xml:space="preserve"> (podatek dochodowy od osób fizycznych)</w:t>
      </w:r>
      <w:r w:rsidR="002E24E3" w:rsidRPr="002E24E3">
        <w:rPr>
          <w:rFonts w:asciiTheme="minorHAnsi" w:hAnsiTheme="minorHAnsi" w:cstheme="minorHAnsi"/>
          <w:sz w:val="28"/>
          <w:szCs w:val="28"/>
        </w:rPr>
        <w:t xml:space="preserve"> dochody dzielą się na bazę ogólną, czyli wynagrodzenia, działalność, część dochodów z nieruchomości) i bazę oszczędnościową, czyli dywidendy, odsetki, część zysków kapitałowych. W Andaluzji maksymalna łączna stawka krańcowa bazy ogólnej wynosi obecnie około 47 proc. i – co bywa źródłem nieporozumień – dotyczy tylko części dochodu powyżej progu, a nie całej kwoty. Baza oszczędnościowa rośnie stopniowo: 19 proc. do 6 tys. euro, 21 proc. do 50 tys., 23 proc. do 200 tys., 27 proc. do 300 tys. i 30 proc. powyżej tej kwoty.</w:t>
      </w:r>
      <w:r w:rsidR="002E24E3" w:rsidRPr="002E24E3">
        <w:rPr>
          <w:rFonts w:asciiTheme="minorHAnsi" w:hAnsiTheme="minorHAnsi" w:cstheme="minorHAnsi"/>
          <w:sz w:val="28"/>
          <w:szCs w:val="28"/>
        </w:rPr>
        <w:br/>
      </w:r>
    </w:p>
    <w:p w14:paraId="22B255E4" w14:textId="77777777" w:rsidR="002819C7" w:rsidRDefault="00294EDC" w:rsidP="002E24E3">
      <w:pPr>
        <w:pStyle w:val="NormalnyWeb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–</w:t>
      </w:r>
      <w:r w:rsidR="002819C7">
        <w:rPr>
          <w:rFonts w:asciiTheme="minorHAnsi" w:hAnsiTheme="minorHAnsi" w:cstheme="minorHAnsi"/>
          <w:sz w:val="28"/>
          <w:szCs w:val="28"/>
        </w:rPr>
        <w:t xml:space="preserve"> </w:t>
      </w:r>
      <w:r w:rsidR="002E24E3" w:rsidRPr="002E24E3">
        <w:rPr>
          <w:rFonts w:asciiTheme="minorHAnsi" w:hAnsiTheme="minorHAnsi" w:cstheme="minorHAnsi"/>
          <w:sz w:val="28"/>
          <w:szCs w:val="28"/>
        </w:rPr>
        <w:t>Dochodzi obowiązek informacyjny. Zagraniczne rachunki, papiery wartościowe, udziały, fundusze, ubezpieczenia i nieruchomości zgłasza się w Modelo 720 – każdą z trzech kategorii osobno</w:t>
      </w:r>
      <w:r w:rsidR="002819C7">
        <w:rPr>
          <w:rFonts w:asciiTheme="minorHAnsi" w:hAnsiTheme="minorHAnsi" w:cstheme="minorHAnsi"/>
          <w:sz w:val="28"/>
          <w:szCs w:val="28"/>
        </w:rPr>
        <w:t>, po przekroczeniu 50 tys. euro – dodaje Joanna Ossowska-Rodziewicz.</w:t>
      </w:r>
    </w:p>
    <w:p w14:paraId="2E95C0F4" w14:textId="77777777" w:rsidR="002819C7" w:rsidRDefault="002819C7" w:rsidP="002E24E3">
      <w:pPr>
        <w:pStyle w:val="NormalnyWeb"/>
        <w:rPr>
          <w:rFonts w:asciiTheme="minorHAnsi" w:hAnsiTheme="minorHAnsi" w:cstheme="minorHAnsi"/>
          <w:sz w:val="28"/>
          <w:szCs w:val="28"/>
        </w:rPr>
      </w:pPr>
    </w:p>
    <w:p w14:paraId="4218222A" w14:textId="77777777" w:rsidR="002E24E3" w:rsidRDefault="002E24E3" w:rsidP="002E24E3">
      <w:pPr>
        <w:pStyle w:val="NormalnyWeb"/>
        <w:rPr>
          <w:rStyle w:val="Pogrubienie"/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Wealth Tax:</w:t>
      </w:r>
      <w:r w:rsidRPr="002E24E3">
        <w:rPr>
          <w:rFonts w:asciiTheme="minorHAnsi" w:hAnsiTheme="minorHAnsi" w:cstheme="minorHAnsi"/>
          <w:b/>
          <w:bCs/>
          <w:sz w:val="28"/>
          <w:szCs w:val="28"/>
        </w:rPr>
        <w:t>Andaluzja zniosła go w 100 proc., ale nie dla wszystkich</w:t>
      </w:r>
      <w:r w:rsidR="002819C7">
        <w:rPr>
          <w:rFonts w:asciiTheme="minorHAnsi" w:hAnsiTheme="minorHAnsi" w:cstheme="minorHAnsi"/>
          <w:b/>
          <w:bCs/>
          <w:sz w:val="28"/>
          <w:szCs w:val="28"/>
        </w:rPr>
        <w:br/>
      </w:r>
    </w:p>
    <w:p w14:paraId="32E370B6" w14:textId="77777777" w:rsidR="002E24E3" w:rsidRPr="002E24E3" w:rsidRDefault="006457E7" w:rsidP="002E24E3">
      <w:pPr>
        <w:pStyle w:val="NormalnyWeb"/>
        <w:rPr>
          <w:rFonts w:asciiTheme="minorHAnsi" w:eastAsia="Times New Roman" w:hAnsiTheme="minorHAnsi" w:cstheme="minorHAnsi"/>
          <w:sz w:val="28"/>
          <w:szCs w:val="28"/>
        </w:rPr>
      </w:pPr>
      <w:r w:rsidRPr="002819C7">
        <w:rPr>
          <w:rStyle w:val="Pogrubienie"/>
          <w:rFonts w:asciiTheme="minorHAnsi" w:hAnsiTheme="minorHAnsi" w:cstheme="minorHAnsi"/>
          <w:b w:val="0"/>
          <w:sz w:val="28"/>
          <w:szCs w:val="28"/>
        </w:rPr>
        <w:t>Wealth Tax (Impuesto sobre el Patrimonio)</w:t>
      </w:r>
      <w:r w:rsidRPr="002E24E3">
        <w:rPr>
          <w:rFonts w:asciiTheme="minorHAnsi" w:hAnsiTheme="minorHAnsi" w:cstheme="minorHAnsi"/>
          <w:sz w:val="28"/>
          <w:szCs w:val="28"/>
        </w:rPr>
        <w:t xml:space="preserve"> to roczny podatek od majątku netto na </w:t>
      </w:r>
      <w:r w:rsidR="00294EDC">
        <w:rPr>
          <w:rFonts w:asciiTheme="minorHAnsi" w:hAnsiTheme="minorHAnsi" w:cstheme="minorHAnsi"/>
          <w:sz w:val="28"/>
          <w:szCs w:val="28"/>
        </w:rPr>
        <w:t xml:space="preserve">dzień </w:t>
      </w:r>
      <w:r w:rsidRPr="002E24E3">
        <w:rPr>
          <w:rFonts w:asciiTheme="minorHAnsi" w:hAnsiTheme="minorHAnsi" w:cstheme="minorHAnsi"/>
          <w:sz w:val="28"/>
          <w:szCs w:val="28"/>
        </w:rPr>
        <w:t>31 grudnia – dla hiszpańskiego rezydenta od majątku światowego: nieruchomości w Hiszpanii i w Polsce, rachunków, akcji i funduszy, niektórych polis, samochodów, dzieł sztuki. Kluczowe progi: kwota wolna od podatku to 700 tys. euro na osobę, a główne miejsce zamieszkania jest zwolnione osobno – do 300 tys. euro na osobę. Deklarację składa się, gdy powstaje podatek do zapłaty albo gdy wartość aktywów brutto przekraczają 2 mln euro – nawet przy podatku zerowym.</w:t>
      </w:r>
      <w:r w:rsidR="002E24E3" w:rsidRPr="002E24E3">
        <w:rPr>
          <w:rFonts w:asciiTheme="minorHAnsi" w:eastAsia="Times New Roman" w:hAnsiTheme="minorHAnsi" w:cstheme="minorHAnsi"/>
          <w:b/>
          <w:bCs/>
          <w:sz w:val="28"/>
          <w:szCs w:val="28"/>
        </w:rPr>
        <w:t xml:space="preserve"> </w:t>
      </w:r>
    </w:p>
    <w:p w14:paraId="5A67CC95" w14:textId="77777777" w:rsidR="00CE1814" w:rsidRDefault="00294EDC" w:rsidP="002E24E3">
      <w:pPr>
        <w:spacing w:before="100" w:beforeAutospacing="1" w:after="100" w:afterAutospacing="1"/>
        <w:rPr>
          <w:rFonts w:asciiTheme="minorHAnsi" w:eastAsia="Times New Roman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–</w:t>
      </w:r>
      <w:r w:rsidR="00CE1814">
        <w:rPr>
          <w:rFonts w:asciiTheme="minorHAnsi" w:eastAsia="Times New Roman" w:hAnsiTheme="minorHAnsi" w:cstheme="minorHAnsi"/>
          <w:sz w:val="28"/>
          <w:szCs w:val="28"/>
        </w:rPr>
        <w:t xml:space="preserve"> </w:t>
      </w:r>
      <w:r w:rsidR="002E24E3" w:rsidRPr="002E24E3">
        <w:rPr>
          <w:rFonts w:asciiTheme="minorHAnsi" w:eastAsia="Times New Roman" w:hAnsiTheme="minorHAnsi" w:cstheme="minorHAnsi"/>
          <w:sz w:val="28"/>
          <w:szCs w:val="28"/>
        </w:rPr>
        <w:t>Andaluzja zniosła regional</w:t>
      </w:r>
      <w:r w:rsidR="00CE1814">
        <w:rPr>
          <w:rFonts w:asciiTheme="minorHAnsi" w:eastAsia="Times New Roman" w:hAnsiTheme="minorHAnsi" w:cstheme="minorHAnsi"/>
          <w:sz w:val="28"/>
          <w:szCs w:val="28"/>
        </w:rPr>
        <w:t>ny podatek majątkowy w całości -</w:t>
      </w:r>
      <w:r w:rsidR="002E24E3" w:rsidRPr="002E24E3">
        <w:rPr>
          <w:rFonts w:asciiTheme="minorHAnsi" w:eastAsia="Times New Roman" w:hAnsiTheme="minorHAnsi" w:cstheme="minorHAnsi"/>
          <w:sz w:val="28"/>
          <w:szCs w:val="28"/>
        </w:rPr>
        <w:t xml:space="preserve"> obowiązuje tu 100-procentowa ulga, więc rezydenci regionu w praktyce go nie płacą. To jeden z argument</w:t>
      </w:r>
      <w:r>
        <w:rPr>
          <w:rFonts w:asciiTheme="minorHAnsi" w:eastAsia="Times New Roman" w:hAnsiTheme="minorHAnsi" w:cstheme="minorHAnsi"/>
          <w:sz w:val="28"/>
          <w:szCs w:val="28"/>
        </w:rPr>
        <w:t>ów, które najczęściej przeważa</w:t>
      </w:r>
      <w:r w:rsidR="002E24E3" w:rsidRPr="002E24E3">
        <w:rPr>
          <w:rFonts w:asciiTheme="minorHAnsi" w:eastAsia="Times New Roman" w:hAnsiTheme="minorHAnsi" w:cstheme="minorHAnsi"/>
          <w:sz w:val="28"/>
          <w:szCs w:val="28"/>
        </w:rPr>
        <w:t xml:space="preserve"> u zamożnych klientów wybierających Costa del Sol. </w:t>
      </w:r>
      <w:r w:rsidR="00CE1814">
        <w:rPr>
          <w:rFonts w:asciiTheme="minorHAnsi" w:eastAsia="Times New Roman" w:hAnsiTheme="minorHAnsi" w:cstheme="minorHAnsi"/>
          <w:sz w:val="28"/>
          <w:szCs w:val="28"/>
        </w:rPr>
        <w:t xml:space="preserve">Z </w:t>
      </w:r>
      <w:r w:rsidR="002E24E3" w:rsidRPr="002E24E3">
        <w:rPr>
          <w:rFonts w:asciiTheme="minorHAnsi" w:eastAsia="Times New Roman" w:hAnsiTheme="minorHAnsi" w:cstheme="minorHAnsi"/>
          <w:sz w:val="28"/>
          <w:szCs w:val="28"/>
        </w:rPr>
        <w:t>wyłącz</w:t>
      </w:r>
      <w:r>
        <w:rPr>
          <w:rFonts w:asciiTheme="minorHAnsi" w:eastAsia="Times New Roman" w:hAnsiTheme="minorHAnsi" w:cstheme="minorHAnsi"/>
          <w:sz w:val="28"/>
          <w:szCs w:val="28"/>
        </w:rPr>
        <w:t>e</w:t>
      </w:r>
      <w:r w:rsidR="002E24E3" w:rsidRPr="002E24E3">
        <w:rPr>
          <w:rFonts w:asciiTheme="minorHAnsi" w:eastAsia="Times New Roman" w:hAnsiTheme="minorHAnsi" w:cstheme="minorHAnsi"/>
          <w:sz w:val="28"/>
          <w:szCs w:val="28"/>
        </w:rPr>
        <w:t>nie</w:t>
      </w:r>
      <w:r w:rsidR="00CE1814">
        <w:rPr>
          <w:rFonts w:asciiTheme="minorHAnsi" w:eastAsia="Times New Roman" w:hAnsiTheme="minorHAnsi" w:cstheme="minorHAnsi"/>
          <w:sz w:val="28"/>
          <w:szCs w:val="28"/>
        </w:rPr>
        <w:t>m</w:t>
      </w:r>
      <w:r w:rsidR="002E24E3" w:rsidRPr="002E24E3">
        <w:rPr>
          <w:rFonts w:asciiTheme="minorHAnsi" w:eastAsia="Times New Roman" w:hAnsiTheme="minorHAnsi" w:cstheme="minorHAnsi"/>
          <w:sz w:val="28"/>
          <w:szCs w:val="28"/>
        </w:rPr>
        <w:t xml:space="preserve"> </w:t>
      </w:r>
      <w:r>
        <w:rPr>
          <w:rFonts w:asciiTheme="minorHAnsi" w:eastAsia="Times New Roman" w:hAnsiTheme="minorHAnsi" w:cstheme="minorHAnsi"/>
          <w:sz w:val="28"/>
          <w:szCs w:val="28"/>
        </w:rPr>
        <w:t xml:space="preserve">jednak </w:t>
      </w:r>
      <w:r w:rsidR="002E24E3" w:rsidRPr="002E24E3">
        <w:rPr>
          <w:rFonts w:asciiTheme="minorHAnsi" w:eastAsia="Times New Roman" w:hAnsiTheme="minorHAnsi" w:cstheme="minorHAnsi"/>
          <w:sz w:val="28"/>
          <w:szCs w:val="28"/>
        </w:rPr>
        <w:t xml:space="preserve">największych majątków, przy których wchodzi odrębny podatek państwowy </w:t>
      </w:r>
      <w:r w:rsidR="00CE1814">
        <w:rPr>
          <w:rFonts w:asciiTheme="minorHAnsi" w:eastAsia="Times New Roman" w:hAnsiTheme="minorHAnsi" w:cstheme="minorHAnsi"/>
          <w:sz w:val="28"/>
          <w:szCs w:val="28"/>
        </w:rPr>
        <w:t>– tłumaczy</w:t>
      </w:r>
      <w:r>
        <w:rPr>
          <w:rFonts w:asciiTheme="minorHAnsi" w:eastAsia="Times New Roman" w:hAnsiTheme="minorHAnsi" w:cstheme="minorHAnsi"/>
          <w:sz w:val="28"/>
          <w:szCs w:val="28"/>
        </w:rPr>
        <w:t xml:space="preserve"> </w:t>
      </w:r>
      <w:r w:rsidR="00CE1814">
        <w:rPr>
          <w:rFonts w:asciiTheme="minorHAnsi" w:eastAsia="Times New Roman" w:hAnsiTheme="minorHAnsi" w:cstheme="minorHAnsi"/>
          <w:sz w:val="28"/>
          <w:szCs w:val="28"/>
        </w:rPr>
        <w:t>Robert Reiski, współwłaściciel agencji nieruchomości By-Bright.</w:t>
      </w:r>
    </w:p>
    <w:p w14:paraId="5B20617E" w14:textId="77777777" w:rsidR="002E24E3" w:rsidRPr="002E24E3" w:rsidRDefault="00CE1814" w:rsidP="002E24E3">
      <w:pPr>
        <w:spacing w:before="100" w:beforeAutospacing="1" w:after="100" w:afterAutospacing="1"/>
        <w:rPr>
          <w:rFonts w:asciiTheme="minorHAnsi" w:eastAsia="Times New Roman" w:hAnsiTheme="minorHAnsi" w:cstheme="minorHAnsi"/>
          <w:sz w:val="28"/>
          <w:szCs w:val="28"/>
        </w:rPr>
      </w:pPr>
      <w:r>
        <w:rPr>
          <w:rFonts w:asciiTheme="minorHAnsi" w:eastAsia="Times New Roman" w:hAnsiTheme="minorHAnsi" w:cstheme="minorHAnsi"/>
          <w:sz w:val="28"/>
          <w:szCs w:val="28"/>
        </w:rPr>
        <w:t xml:space="preserve"> </w:t>
      </w:r>
      <w:r w:rsidR="002E24E3" w:rsidRPr="002E24E3">
        <w:rPr>
          <w:rFonts w:asciiTheme="minorHAnsi" w:eastAsia="Times New Roman" w:hAnsiTheme="minorHAnsi" w:cstheme="minorHAnsi"/>
          <w:b/>
          <w:bCs/>
          <w:sz w:val="28"/>
          <w:szCs w:val="28"/>
        </w:rPr>
        <w:t>Ulga Beckhama: kto się kwalifikuje</w:t>
      </w:r>
    </w:p>
    <w:p w14:paraId="04491829" w14:textId="77777777" w:rsidR="002E24E3" w:rsidRPr="002E24E3" w:rsidRDefault="00294EDC" w:rsidP="002E24E3">
      <w:pPr>
        <w:spacing w:before="100" w:beforeAutospacing="1" w:after="100" w:afterAutospacing="1"/>
        <w:rPr>
          <w:rFonts w:asciiTheme="minorHAnsi" w:eastAsia="Times New Roman" w:hAnsiTheme="minorHAnsi" w:cstheme="minorHAnsi"/>
          <w:sz w:val="28"/>
          <w:szCs w:val="28"/>
        </w:rPr>
      </w:pPr>
      <w:r>
        <w:rPr>
          <w:rFonts w:asciiTheme="minorHAnsi" w:eastAsia="Times New Roman" w:hAnsiTheme="minorHAnsi" w:cstheme="minorHAnsi"/>
          <w:sz w:val="28"/>
          <w:szCs w:val="28"/>
        </w:rPr>
        <w:t xml:space="preserve">Ulga Beckhama </w:t>
      </w:r>
      <w:r w:rsidR="002E24E3" w:rsidRPr="002E24E3">
        <w:rPr>
          <w:rFonts w:asciiTheme="minorHAnsi" w:eastAsia="Times New Roman" w:hAnsiTheme="minorHAnsi" w:cstheme="minorHAnsi"/>
          <w:sz w:val="28"/>
          <w:szCs w:val="28"/>
        </w:rPr>
        <w:t>pozwala osobie, która właśnie przeniosła się do Hiszpanii, rozliczać się przez sześć lat na zasadach bliskich nierezydentowi: 24 proc. do 600 tys. euro dochodu i 47 proc. od nadwyżki, a dywidendy, odsetki i część zysk</w:t>
      </w:r>
      <w:r w:rsidR="00CE1814">
        <w:rPr>
          <w:rFonts w:asciiTheme="minorHAnsi" w:eastAsia="Times New Roman" w:hAnsiTheme="minorHAnsi" w:cstheme="minorHAnsi"/>
          <w:sz w:val="28"/>
          <w:szCs w:val="28"/>
        </w:rPr>
        <w:t>ów kapitałowych według skali 19-</w:t>
      </w:r>
      <w:r w:rsidR="002E24E3" w:rsidRPr="002E24E3">
        <w:rPr>
          <w:rFonts w:asciiTheme="minorHAnsi" w:eastAsia="Times New Roman" w:hAnsiTheme="minorHAnsi" w:cstheme="minorHAnsi"/>
          <w:sz w:val="28"/>
          <w:szCs w:val="28"/>
        </w:rPr>
        <w:t>30 proc.</w:t>
      </w:r>
    </w:p>
    <w:p w14:paraId="03309A44" w14:textId="0EE339F9" w:rsidR="002E24E3" w:rsidRPr="002E24E3" w:rsidRDefault="006235ED" w:rsidP="002E24E3">
      <w:pPr>
        <w:spacing w:before="100" w:beforeAutospacing="1" w:after="100" w:afterAutospacing="1"/>
        <w:rPr>
          <w:rFonts w:asciiTheme="minorHAnsi" w:eastAsia="Times New Roman" w:hAnsiTheme="minorHAnsi" w:cstheme="minorHAnsi"/>
          <w:sz w:val="28"/>
          <w:szCs w:val="28"/>
        </w:rPr>
      </w:pPr>
      <w:r>
        <w:rPr>
          <w:rFonts w:asciiTheme="minorHAnsi" w:eastAsia="Times New Roman" w:hAnsiTheme="minorHAnsi" w:cstheme="minorHAnsi"/>
          <w:sz w:val="28"/>
          <w:szCs w:val="28"/>
        </w:rPr>
        <w:lastRenderedPageBreak/>
        <w:t xml:space="preserve">Do podstawowych warunków należą: </w:t>
      </w:r>
      <w:r w:rsidR="002E24E3" w:rsidRPr="002E24E3">
        <w:rPr>
          <w:rFonts w:asciiTheme="minorHAnsi" w:eastAsia="Times New Roman" w:hAnsiTheme="minorHAnsi" w:cstheme="minorHAnsi"/>
          <w:sz w:val="28"/>
          <w:szCs w:val="28"/>
        </w:rPr>
        <w:t xml:space="preserve">brak hiszpańskiej rezydencji podatkowej w pięciu poprzednich latach, przeprowadzka z jednej </w:t>
      </w:r>
      <w:r w:rsidR="00CE1814">
        <w:rPr>
          <w:rFonts w:asciiTheme="minorHAnsi" w:eastAsia="Times New Roman" w:hAnsiTheme="minorHAnsi" w:cstheme="minorHAnsi"/>
          <w:sz w:val="28"/>
          <w:szCs w:val="28"/>
        </w:rPr>
        <w:t>z przyczyn wskazanych w ustawie oraz</w:t>
      </w:r>
      <w:r w:rsidR="002E24E3" w:rsidRPr="002E24E3">
        <w:rPr>
          <w:rFonts w:asciiTheme="minorHAnsi" w:eastAsia="Times New Roman" w:hAnsiTheme="minorHAnsi" w:cstheme="minorHAnsi"/>
          <w:sz w:val="28"/>
          <w:szCs w:val="28"/>
        </w:rPr>
        <w:t xml:space="preserve"> złożenie formularza Modelo 149 w terminie. Kwalifikującą przyczyną jest </w:t>
      </w:r>
      <w:r w:rsidR="00CE1814">
        <w:rPr>
          <w:rFonts w:asciiTheme="minorHAnsi" w:eastAsia="Times New Roman" w:hAnsiTheme="minorHAnsi" w:cstheme="minorHAnsi"/>
          <w:sz w:val="28"/>
          <w:szCs w:val="28"/>
        </w:rPr>
        <w:t xml:space="preserve">m.in.: </w:t>
      </w:r>
      <w:r w:rsidR="002E24E3" w:rsidRPr="002E24E3">
        <w:rPr>
          <w:rFonts w:asciiTheme="minorHAnsi" w:eastAsia="Times New Roman" w:hAnsiTheme="minorHAnsi" w:cstheme="minorHAnsi"/>
          <w:sz w:val="28"/>
          <w:szCs w:val="28"/>
        </w:rPr>
        <w:t>praca u hiszpańskiego pracodawcy, delegowanie z zagranicy, praca zdalna (w tym na wizie dla międzynarodowych pracowników</w:t>
      </w:r>
      <w:r w:rsidR="00CE1814">
        <w:rPr>
          <w:rFonts w:asciiTheme="minorHAnsi" w:eastAsia="Times New Roman" w:hAnsiTheme="minorHAnsi" w:cstheme="minorHAnsi"/>
          <w:sz w:val="28"/>
          <w:szCs w:val="28"/>
        </w:rPr>
        <w:t xml:space="preserve"> online</w:t>
      </w:r>
      <w:r w:rsidR="002E24E3" w:rsidRPr="002E24E3">
        <w:rPr>
          <w:rFonts w:asciiTheme="minorHAnsi" w:eastAsia="Times New Roman" w:hAnsiTheme="minorHAnsi" w:cstheme="minorHAnsi"/>
          <w:sz w:val="28"/>
          <w:szCs w:val="28"/>
        </w:rPr>
        <w:t>), funkcja administratora hiszpańskiej spółki, działalność uznana za przedsiębiorczą po odpowiedniej procedurze albo praca specjalisty dla startupu lub w obszarze badań i rozwoju.</w:t>
      </w:r>
    </w:p>
    <w:p w14:paraId="1FBBA409" w14:textId="77777777" w:rsidR="002E24E3" w:rsidRPr="002E24E3" w:rsidRDefault="002E24E3" w:rsidP="002E24E3">
      <w:pPr>
        <w:spacing w:before="100" w:beforeAutospacing="1" w:after="100" w:afterAutospacing="1"/>
        <w:rPr>
          <w:rFonts w:asciiTheme="minorHAnsi" w:eastAsia="Times New Roman" w:hAnsiTheme="minorHAnsi" w:cstheme="minorHAnsi"/>
          <w:sz w:val="28"/>
          <w:szCs w:val="28"/>
        </w:rPr>
      </w:pPr>
      <w:bookmarkStart w:id="0" w:name="_GoBack"/>
      <w:bookmarkEnd w:id="0"/>
      <w:r w:rsidRPr="002E24E3">
        <w:rPr>
          <w:rFonts w:asciiTheme="minorHAnsi" w:eastAsia="Times New Roman" w:hAnsiTheme="minorHAnsi" w:cstheme="minorHAnsi"/>
          <w:sz w:val="28"/>
          <w:szCs w:val="28"/>
        </w:rPr>
        <w:t xml:space="preserve">Największa korzyść nie leży jednak w </w:t>
      </w:r>
      <w:r w:rsidR="00CE1814">
        <w:rPr>
          <w:rFonts w:asciiTheme="minorHAnsi" w:eastAsia="Times New Roman" w:hAnsiTheme="minorHAnsi" w:cstheme="minorHAnsi"/>
          <w:sz w:val="28"/>
          <w:szCs w:val="28"/>
        </w:rPr>
        <w:t xml:space="preserve">samej </w:t>
      </w:r>
      <w:r w:rsidRPr="002E24E3">
        <w:rPr>
          <w:rFonts w:asciiTheme="minorHAnsi" w:eastAsia="Times New Roman" w:hAnsiTheme="minorHAnsi" w:cstheme="minorHAnsi"/>
          <w:sz w:val="28"/>
          <w:szCs w:val="28"/>
        </w:rPr>
        <w:t xml:space="preserve">stawce. </w:t>
      </w:r>
      <w:r w:rsidR="00294EDC">
        <w:rPr>
          <w:rFonts w:asciiTheme="minorHAnsi" w:eastAsia="Times New Roman" w:hAnsiTheme="minorHAnsi" w:cstheme="minorHAnsi"/>
          <w:sz w:val="28"/>
          <w:szCs w:val="28"/>
        </w:rPr>
        <w:t>W przypadku ulgi Beckhama p</w:t>
      </w:r>
      <w:r w:rsidRPr="002E24E3">
        <w:rPr>
          <w:rFonts w:asciiTheme="minorHAnsi" w:eastAsia="Times New Roman" w:hAnsiTheme="minorHAnsi" w:cstheme="minorHAnsi"/>
          <w:sz w:val="28"/>
          <w:szCs w:val="28"/>
        </w:rPr>
        <w:t>odatek majątkowy obejmuje tylko majątek położony w Hiszpanii, wiele zagranicznych dochodów z inwestycji zostaje poza hiszpańskim podatkiem, a Modelo 720 co do zasady nie obowiązuje. Wyjątek: wynagrodzenie za pracę liczy się jako dochód hiszpański, nawet gdy płaci je firma z zagranicy. Z ulgi mogą skorzystać także małżonek lub drugi rodzic wspólnych dz</w:t>
      </w:r>
      <w:r w:rsidR="00CE1814">
        <w:rPr>
          <w:rFonts w:asciiTheme="minorHAnsi" w:eastAsia="Times New Roman" w:hAnsiTheme="minorHAnsi" w:cstheme="minorHAnsi"/>
          <w:sz w:val="28"/>
          <w:szCs w:val="28"/>
        </w:rPr>
        <w:t>ieci oraz dzieci do 25 lat -</w:t>
      </w:r>
      <w:r w:rsidRPr="002E24E3">
        <w:rPr>
          <w:rFonts w:asciiTheme="minorHAnsi" w:eastAsia="Times New Roman" w:hAnsiTheme="minorHAnsi" w:cstheme="minorHAnsi"/>
          <w:sz w:val="28"/>
          <w:szCs w:val="28"/>
        </w:rPr>
        <w:t xml:space="preserve"> bez limitu wieku przy niepełnosprawności.</w:t>
      </w:r>
    </w:p>
    <w:p w14:paraId="7C90B738" w14:textId="77777777" w:rsidR="002E24E3" w:rsidRPr="002E24E3" w:rsidRDefault="002E24E3" w:rsidP="002E24E3">
      <w:pPr>
        <w:spacing w:before="100" w:beforeAutospacing="1" w:after="100" w:afterAutospacing="1"/>
        <w:rPr>
          <w:rFonts w:asciiTheme="minorHAnsi" w:eastAsia="Times New Roman" w:hAnsiTheme="minorHAnsi" w:cstheme="minorHAnsi"/>
          <w:sz w:val="28"/>
          <w:szCs w:val="28"/>
        </w:rPr>
      </w:pPr>
      <w:r w:rsidRPr="002E24E3">
        <w:rPr>
          <w:rFonts w:asciiTheme="minorHAnsi" w:eastAsia="Times New Roman" w:hAnsiTheme="minorHAnsi" w:cstheme="minorHAnsi"/>
          <w:b/>
          <w:bCs/>
          <w:sz w:val="28"/>
          <w:szCs w:val="28"/>
        </w:rPr>
        <w:t>Trzy scenariusze do policzenia przed przeprowadzką</w:t>
      </w:r>
    </w:p>
    <w:p w14:paraId="56D1EA42" w14:textId="77777777" w:rsidR="00CE1814" w:rsidRPr="00857B05" w:rsidRDefault="002E24E3" w:rsidP="002E24E3">
      <w:pPr>
        <w:spacing w:before="100" w:beforeAutospacing="1" w:after="100" w:afterAutospacing="1"/>
        <w:rPr>
          <w:rFonts w:asciiTheme="minorHAnsi" w:eastAsia="Times New Roman" w:hAnsiTheme="minorHAnsi" w:cstheme="minorHAnsi"/>
          <w:sz w:val="28"/>
          <w:szCs w:val="28"/>
        </w:rPr>
      </w:pPr>
      <w:r w:rsidRPr="002E24E3">
        <w:rPr>
          <w:rFonts w:asciiTheme="minorHAnsi" w:eastAsia="Times New Roman" w:hAnsiTheme="minorHAnsi" w:cstheme="minorHAnsi"/>
          <w:sz w:val="28"/>
          <w:szCs w:val="28"/>
        </w:rPr>
        <w:t xml:space="preserve">Nierezydent płaci w Hiszpanii </w:t>
      </w:r>
      <w:r w:rsidR="00294EDC" w:rsidRPr="00857B05">
        <w:rPr>
          <w:rFonts w:asciiTheme="minorHAnsi" w:eastAsia="Times New Roman" w:hAnsiTheme="minorHAnsi" w:cstheme="minorHAnsi"/>
          <w:sz w:val="28"/>
          <w:szCs w:val="28"/>
        </w:rPr>
        <w:t xml:space="preserve">podatki </w:t>
      </w:r>
      <w:r w:rsidRPr="002E24E3">
        <w:rPr>
          <w:rFonts w:asciiTheme="minorHAnsi" w:eastAsia="Times New Roman" w:hAnsiTheme="minorHAnsi" w:cstheme="minorHAnsi"/>
          <w:sz w:val="28"/>
          <w:szCs w:val="28"/>
        </w:rPr>
        <w:t xml:space="preserve">tylko </w:t>
      </w:r>
      <w:r w:rsidR="00857B05" w:rsidRPr="00857B05">
        <w:rPr>
          <w:rFonts w:asciiTheme="minorHAnsi" w:eastAsia="Times New Roman" w:hAnsiTheme="minorHAnsi" w:cstheme="minorHAnsi"/>
          <w:sz w:val="28"/>
          <w:szCs w:val="28"/>
        </w:rPr>
        <w:t xml:space="preserve">i </w:t>
      </w:r>
      <w:r w:rsidR="00857B05" w:rsidRPr="00857B05">
        <w:rPr>
          <w:sz w:val="28"/>
          <w:szCs w:val="28"/>
        </w:rPr>
        <w:t>wyłącznie od dochodów i majątku pochodzących z tego kraju.</w:t>
      </w:r>
      <w:r w:rsidR="00CE1814" w:rsidRPr="00857B05">
        <w:rPr>
          <w:rFonts w:asciiTheme="minorHAnsi" w:eastAsia="Times New Roman" w:hAnsiTheme="minorHAnsi" w:cstheme="minorHAnsi"/>
          <w:sz w:val="28"/>
          <w:szCs w:val="28"/>
        </w:rPr>
        <w:t xml:space="preserve"> Zwykły rezydent -</w:t>
      </w:r>
      <w:r w:rsidRPr="002E24E3">
        <w:rPr>
          <w:rFonts w:asciiTheme="minorHAnsi" w:eastAsia="Times New Roman" w:hAnsiTheme="minorHAnsi" w:cstheme="minorHAnsi"/>
          <w:sz w:val="28"/>
          <w:szCs w:val="28"/>
        </w:rPr>
        <w:t xml:space="preserve"> od światowych dochodów i światowego majątku. Rezydent z</w:t>
      </w:r>
      <w:r w:rsidR="00CE1814" w:rsidRPr="00857B05">
        <w:rPr>
          <w:rFonts w:asciiTheme="minorHAnsi" w:eastAsia="Times New Roman" w:hAnsiTheme="minorHAnsi" w:cstheme="minorHAnsi"/>
          <w:sz w:val="28"/>
          <w:szCs w:val="28"/>
        </w:rPr>
        <w:t xml:space="preserve"> ulgą Beckhama -</w:t>
      </w:r>
      <w:r w:rsidRPr="002E24E3">
        <w:rPr>
          <w:rFonts w:asciiTheme="minorHAnsi" w:eastAsia="Times New Roman" w:hAnsiTheme="minorHAnsi" w:cstheme="minorHAnsi"/>
          <w:sz w:val="28"/>
          <w:szCs w:val="28"/>
        </w:rPr>
        <w:t xml:space="preserve"> według zasad specjalnych, z podatkiem majątkowym ograniczonym do aktywów w Hiszpanii. </w:t>
      </w:r>
    </w:p>
    <w:p w14:paraId="4E14DD30" w14:textId="77777777" w:rsidR="002E24E3" w:rsidRPr="002E24E3" w:rsidRDefault="00857B05" w:rsidP="002E24E3">
      <w:pPr>
        <w:spacing w:before="100" w:beforeAutospacing="1" w:after="100" w:afterAutospacing="1"/>
        <w:rPr>
          <w:rFonts w:asciiTheme="minorHAnsi" w:eastAsia="Times New Roman" w:hAnsiTheme="minorHAnsi" w:cstheme="minorHAnsi"/>
          <w:sz w:val="28"/>
          <w:szCs w:val="28"/>
        </w:rPr>
      </w:pPr>
      <w:r w:rsidRPr="002E24E3">
        <w:rPr>
          <w:rFonts w:asciiTheme="minorHAnsi" w:eastAsia="Times New Roman" w:hAnsiTheme="minorHAnsi" w:cstheme="minorHAnsi"/>
          <w:sz w:val="28"/>
          <w:szCs w:val="28"/>
        </w:rPr>
        <w:t>–</w:t>
      </w:r>
      <w:r w:rsidR="00CE1814" w:rsidRPr="00857B05">
        <w:rPr>
          <w:rFonts w:asciiTheme="minorHAnsi" w:eastAsia="Times New Roman" w:hAnsiTheme="minorHAnsi" w:cstheme="minorHAnsi"/>
          <w:sz w:val="28"/>
          <w:szCs w:val="28"/>
        </w:rPr>
        <w:t xml:space="preserve"> </w:t>
      </w:r>
      <w:r w:rsidRPr="00857B05">
        <w:rPr>
          <w:sz w:val="28"/>
          <w:szCs w:val="28"/>
        </w:rPr>
        <w:t xml:space="preserve">Przeprowadzka do Hiszpanii to decyzja nie tylko życiowa, ale też podatkowa. </w:t>
      </w:r>
      <w:r w:rsidRPr="00857B05">
        <w:rPr>
          <w:rFonts w:asciiTheme="minorHAnsi" w:eastAsia="Times New Roman" w:hAnsiTheme="minorHAnsi" w:cstheme="minorHAnsi"/>
          <w:sz w:val="28"/>
          <w:szCs w:val="28"/>
        </w:rPr>
        <w:t>Warto wcześniej ustalić, skąd</w:t>
      </w:r>
      <w:r w:rsidR="00CE1814" w:rsidRPr="002E24E3">
        <w:rPr>
          <w:rFonts w:asciiTheme="minorHAnsi" w:eastAsia="Times New Roman" w:hAnsiTheme="minorHAnsi" w:cstheme="minorHAnsi"/>
          <w:sz w:val="28"/>
          <w:szCs w:val="28"/>
        </w:rPr>
        <w:t xml:space="preserve"> faktycznie </w:t>
      </w:r>
      <w:r w:rsidRPr="00857B05">
        <w:rPr>
          <w:rFonts w:asciiTheme="minorHAnsi" w:eastAsia="Times New Roman" w:hAnsiTheme="minorHAnsi" w:cstheme="minorHAnsi"/>
          <w:sz w:val="28"/>
          <w:szCs w:val="28"/>
        </w:rPr>
        <w:t>będzie zarządzany biznes</w:t>
      </w:r>
      <w:r w:rsidR="00CE1814" w:rsidRPr="002E24E3">
        <w:rPr>
          <w:rFonts w:asciiTheme="minorHAnsi" w:eastAsia="Times New Roman" w:hAnsiTheme="minorHAnsi" w:cstheme="minorHAnsi"/>
          <w:sz w:val="28"/>
          <w:szCs w:val="28"/>
        </w:rPr>
        <w:t xml:space="preserve">, jak opodatkowane będą dywidendy, czy udziały </w:t>
      </w:r>
      <w:r w:rsidR="00CE1814" w:rsidRPr="00857B05">
        <w:rPr>
          <w:rFonts w:asciiTheme="minorHAnsi" w:eastAsia="Times New Roman" w:hAnsiTheme="minorHAnsi" w:cstheme="minorHAnsi"/>
          <w:sz w:val="28"/>
          <w:szCs w:val="28"/>
        </w:rPr>
        <w:t>spełniają warunki zwolnienia</w:t>
      </w:r>
      <w:r w:rsidR="00CE1814" w:rsidRPr="002E24E3">
        <w:rPr>
          <w:rFonts w:asciiTheme="minorHAnsi" w:eastAsia="Times New Roman" w:hAnsiTheme="minorHAnsi" w:cstheme="minorHAnsi"/>
          <w:sz w:val="28"/>
          <w:szCs w:val="28"/>
        </w:rPr>
        <w:t xml:space="preserve"> dla firmy rodzinnej i czy </w:t>
      </w:r>
      <w:r w:rsidR="00CE1814" w:rsidRPr="00857B05">
        <w:rPr>
          <w:rFonts w:asciiTheme="minorHAnsi" w:eastAsia="Times New Roman" w:hAnsiTheme="minorHAnsi" w:cstheme="minorHAnsi"/>
          <w:sz w:val="28"/>
          <w:szCs w:val="28"/>
        </w:rPr>
        <w:t xml:space="preserve">da się zastosować ulgę Beckhama. </w:t>
      </w:r>
      <w:r w:rsidR="00CE1814" w:rsidRPr="002E24E3">
        <w:rPr>
          <w:rFonts w:asciiTheme="minorHAnsi" w:eastAsia="Times New Roman" w:hAnsiTheme="minorHAnsi" w:cstheme="minorHAnsi"/>
          <w:sz w:val="28"/>
          <w:szCs w:val="28"/>
        </w:rPr>
        <w:t xml:space="preserve">Taką analizę </w:t>
      </w:r>
      <w:r w:rsidR="00CE1814">
        <w:rPr>
          <w:rFonts w:asciiTheme="minorHAnsi" w:eastAsia="Times New Roman" w:hAnsiTheme="minorHAnsi" w:cstheme="minorHAnsi"/>
          <w:sz w:val="28"/>
          <w:szCs w:val="28"/>
        </w:rPr>
        <w:t>najlepiej zrobić</w:t>
      </w:r>
      <w:r w:rsidR="00CE1814" w:rsidRPr="002E24E3">
        <w:rPr>
          <w:rFonts w:asciiTheme="minorHAnsi" w:eastAsia="Times New Roman" w:hAnsiTheme="minorHAnsi" w:cstheme="minorHAnsi"/>
          <w:sz w:val="28"/>
          <w:szCs w:val="28"/>
        </w:rPr>
        <w:t xml:space="preserve"> rok przed przep</w:t>
      </w:r>
      <w:r w:rsidR="00CE1814">
        <w:rPr>
          <w:rFonts w:asciiTheme="minorHAnsi" w:eastAsia="Times New Roman" w:hAnsiTheme="minorHAnsi" w:cstheme="minorHAnsi"/>
          <w:sz w:val="28"/>
          <w:szCs w:val="28"/>
        </w:rPr>
        <w:t xml:space="preserve">rowadzką, a nie miesiąc po niej </w:t>
      </w:r>
      <w:r w:rsidR="00CE1814" w:rsidRPr="002E24E3">
        <w:rPr>
          <w:rFonts w:asciiTheme="minorHAnsi" w:eastAsia="Times New Roman" w:hAnsiTheme="minorHAnsi" w:cstheme="minorHAnsi"/>
          <w:sz w:val="28"/>
          <w:szCs w:val="28"/>
        </w:rPr>
        <w:t xml:space="preserve">– podsumowuje </w:t>
      </w:r>
      <w:r w:rsidR="00CE1814" w:rsidRPr="002E24E3">
        <w:rPr>
          <w:rFonts w:asciiTheme="minorHAnsi" w:eastAsia="Times New Roman" w:hAnsiTheme="minorHAnsi" w:cstheme="minorHAnsi"/>
          <w:bCs/>
          <w:sz w:val="28"/>
          <w:szCs w:val="28"/>
        </w:rPr>
        <w:t>Robert Reiski</w:t>
      </w:r>
      <w:r w:rsidR="00CE1814" w:rsidRPr="002E24E3">
        <w:rPr>
          <w:rFonts w:asciiTheme="minorHAnsi" w:eastAsia="Times New Roman" w:hAnsiTheme="minorHAnsi" w:cstheme="minorHAnsi"/>
          <w:sz w:val="28"/>
          <w:szCs w:val="28"/>
        </w:rPr>
        <w:t>.</w:t>
      </w:r>
    </w:p>
    <w:p w14:paraId="117653E8" w14:textId="77777777" w:rsidR="009D1CC6" w:rsidRPr="009F2812" w:rsidRDefault="009D1CC6" w:rsidP="002E24E3">
      <w:pPr>
        <w:spacing w:line="276" w:lineRule="auto"/>
        <w:rPr>
          <w:rFonts w:asciiTheme="minorHAnsi" w:hAnsiTheme="minorHAnsi" w:cstheme="minorHAnsi"/>
          <w:sz w:val="28"/>
          <w:szCs w:val="28"/>
        </w:rPr>
      </w:pPr>
    </w:p>
    <w:sectPr w:rsidR="009D1CC6" w:rsidRPr="009F28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16295654" w16cex:dateUtc="2026-09-07T13:31:00Z"/>
  <w16cex:commentExtensible w16cex:durableId="719C2BE2" w16cex:dateUtc="2026-09-07T13:32:00Z"/>
  <w16cex:commentExtensible w16cex:durableId="4E35AAC0" w16cex:dateUtc="2026-09-07T13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3C02E380" w16cid:durableId="16295654"/>
  <w16cid:commentId w16cid:paraId="03A0FD08" w16cid:durableId="719C2BE2"/>
  <w16cid:commentId w16cid:paraId="68AF6E6F" w16cid:durableId="4E35AAC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655FE"/>
    <w:multiLevelType w:val="hybridMultilevel"/>
    <w:tmpl w:val="5A74AAF4"/>
    <w:lvl w:ilvl="0" w:tplc="E8EAF6EC">
      <w:start w:val="1"/>
      <w:numFmt w:val="bullet"/>
      <w:lvlText w:val="•"/>
      <w:lvlJc w:val="left"/>
      <w:pPr>
        <w:ind w:left="431" w:hanging="288"/>
      </w:pPr>
    </w:lvl>
    <w:lvl w:ilvl="1" w:tplc="839A323C">
      <w:numFmt w:val="decimal"/>
      <w:lvlText w:val=""/>
      <w:lvlJc w:val="left"/>
    </w:lvl>
    <w:lvl w:ilvl="2" w:tplc="7DD26BE2">
      <w:numFmt w:val="decimal"/>
      <w:lvlText w:val=""/>
      <w:lvlJc w:val="left"/>
    </w:lvl>
    <w:lvl w:ilvl="3" w:tplc="26A01686">
      <w:numFmt w:val="decimal"/>
      <w:lvlText w:val=""/>
      <w:lvlJc w:val="left"/>
    </w:lvl>
    <w:lvl w:ilvl="4" w:tplc="7DB8715A">
      <w:numFmt w:val="decimal"/>
      <w:lvlText w:val=""/>
      <w:lvlJc w:val="left"/>
    </w:lvl>
    <w:lvl w:ilvl="5" w:tplc="F6D01B82">
      <w:numFmt w:val="decimal"/>
      <w:lvlText w:val=""/>
      <w:lvlJc w:val="left"/>
    </w:lvl>
    <w:lvl w:ilvl="6" w:tplc="B700174E">
      <w:numFmt w:val="decimal"/>
      <w:lvlText w:val=""/>
      <w:lvlJc w:val="left"/>
    </w:lvl>
    <w:lvl w:ilvl="7" w:tplc="91DE8466">
      <w:numFmt w:val="decimal"/>
      <w:lvlText w:val=""/>
      <w:lvlJc w:val="left"/>
    </w:lvl>
    <w:lvl w:ilvl="8" w:tplc="DF1496D8">
      <w:numFmt w:val="decimal"/>
      <w:lvlText w:val=""/>
      <w:lvlJc w:val="left"/>
    </w:lvl>
  </w:abstractNum>
  <w:abstractNum w:abstractNumId="1" w15:restartNumberingAfterBreak="0">
    <w:nsid w:val="2113201C"/>
    <w:multiLevelType w:val="multilevel"/>
    <w:tmpl w:val="24FC1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54462B"/>
    <w:multiLevelType w:val="hybridMultilevel"/>
    <w:tmpl w:val="69BCC2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791C91"/>
    <w:multiLevelType w:val="hybridMultilevel"/>
    <w:tmpl w:val="18F0F548"/>
    <w:lvl w:ilvl="0" w:tplc="7F24F178">
      <w:start w:val="1"/>
      <w:numFmt w:val="bullet"/>
      <w:lvlText w:val="●"/>
      <w:lvlJc w:val="left"/>
      <w:pPr>
        <w:ind w:left="720" w:hanging="360"/>
      </w:pPr>
    </w:lvl>
    <w:lvl w:ilvl="1" w:tplc="14C67410">
      <w:start w:val="1"/>
      <w:numFmt w:val="bullet"/>
      <w:lvlText w:val="○"/>
      <w:lvlJc w:val="left"/>
      <w:pPr>
        <w:ind w:left="1440" w:hanging="360"/>
      </w:pPr>
    </w:lvl>
    <w:lvl w:ilvl="2" w:tplc="0A12C09A">
      <w:start w:val="1"/>
      <w:numFmt w:val="bullet"/>
      <w:lvlText w:val="■"/>
      <w:lvlJc w:val="left"/>
      <w:pPr>
        <w:ind w:left="2160" w:hanging="360"/>
      </w:pPr>
    </w:lvl>
    <w:lvl w:ilvl="3" w:tplc="4D481800">
      <w:start w:val="1"/>
      <w:numFmt w:val="bullet"/>
      <w:lvlText w:val="●"/>
      <w:lvlJc w:val="left"/>
      <w:pPr>
        <w:ind w:left="2880" w:hanging="360"/>
      </w:pPr>
    </w:lvl>
    <w:lvl w:ilvl="4" w:tplc="0B4CCBAE">
      <w:start w:val="1"/>
      <w:numFmt w:val="bullet"/>
      <w:lvlText w:val="○"/>
      <w:lvlJc w:val="left"/>
      <w:pPr>
        <w:ind w:left="3600" w:hanging="360"/>
      </w:pPr>
    </w:lvl>
    <w:lvl w:ilvl="5" w:tplc="7EF86394">
      <w:start w:val="1"/>
      <w:numFmt w:val="bullet"/>
      <w:lvlText w:val="■"/>
      <w:lvlJc w:val="left"/>
      <w:pPr>
        <w:ind w:left="4320" w:hanging="360"/>
      </w:pPr>
    </w:lvl>
    <w:lvl w:ilvl="6" w:tplc="8FCE69E2">
      <w:start w:val="1"/>
      <w:numFmt w:val="bullet"/>
      <w:lvlText w:val="●"/>
      <w:lvlJc w:val="left"/>
      <w:pPr>
        <w:ind w:left="5040" w:hanging="360"/>
      </w:pPr>
    </w:lvl>
    <w:lvl w:ilvl="7" w:tplc="6E2646E4">
      <w:start w:val="1"/>
      <w:numFmt w:val="bullet"/>
      <w:lvlText w:val="●"/>
      <w:lvlJc w:val="left"/>
      <w:pPr>
        <w:ind w:left="5760" w:hanging="360"/>
      </w:pPr>
    </w:lvl>
    <w:lvl w:ilvl="8" w:tplc="F992EA62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765324CA"/>
    <w:multiLevelType w:val="hybridMultilevel"/>
    <w:tmpl w:val="089810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CC6"/>
    <w:rsid w:val="002819C7"/>
    <w:rsid w:val="00294EDC"/>
    <w:rsid w:val="002E24E3"/>
    <w:rsid w:val="003D5677"/>
    <w:rsid w:val="003E3C19"/>
    <w:rsid w:val="0046685C"/>
    <w:rsid w:val="006235ED"/>
    <w:rsid w:val="006457E7"/>
    <w:rsid w:val="00797FD1"/>
    <w:rsid w:val="007C6C90"/>
    <w:rsid w:val="00857B05"/>
    <w:rsid w:val="008E5BCD"/>
    <w:rsid w:val="009D1CC6"/>
    <w:rsid w:val="009F2812"/>
    <w:rsid w:val="00C14E47"/>
    <w:rsid w:val="00CE1814"/>
    <w:rsid w:val="00F00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63267"/>
  <w15:docId w15:val="{02642496-1953-4704-952B-32F682715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qFormat/>
    <w:pPr>
      <w:outlineLvl w:val="3"/>
    </w:pPr>
    <w:rPr>
      <w:i/>
      <w:iCs/>
      <w:color w:val="2E74B5"/>
    </w:rPr>
  </w:style>
  <w:style w:type="paragraph" w:styleId="Nagwek5">
    <w:name w:val="heading 5"/>
    <w:qFormat/>
    <w:pPr>
      <w:outlineLvl w:val="4"/>
    </w:pPr>
    <w:rPr>
      <w:color w:val="2E74B5"/>
    </w:rPr>
  </w:style>
  <w:style w:type="paragraph" w:styleId="Nagwek6">
    <w:name w:val="heading 6"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6457E7"/>
    <w:rPr>
      <w:b/>
      <w:bCs/>
    </w:rPr>
  </w:style>
  <w:style w:type="paragraph" w:styleId="NormalnyWeb">
    <w:name w:val="Normal (Web)"/>
    <w:basedOn w:val="Normalny"/>
    <w:uiPriority w:val="99"/>
    <w:unhideWhenUsed/>
    <w:rsid w:val="0046685C"/>
    <w:rPr>
      <w:rFonts w:ascii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97FD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97FD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97FD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7FD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7FD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35E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35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848</Words>
  <Characters>5090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Bart Bart</cp:lastModifiedBy>
  <cp:revision>3</cp:revision>
  <dcterms:created xsi:type="dcterms:W3CDTF">2026-09-07T13:37:00Z</dcterms:created>
  <dcterms:modified xsi:type="dcterms:W3CDTF">2026-09-08T08:19:00Z</dcterms:modified>
</cp:coreProperties>
</file>